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60BE7">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w:t>
      </w:r>
    </w:p>
    <w:p w14:paraId="6A3743E7">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w:t>
      </w:r>
    </w:p>
    <w:p w14:paraId="6F68AFC0">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货物和服务项目</w:t>
      </w:r>
    </w:p>
    <w:p w14:paraId="1D53C5C7">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公开招标文件</w:t>
      </w:r>
    </w:p>
    <w:p w14:paraId="0EB6FAD1">
      <w:pPr>
        <w:pStyle w:val="7"/>
        <w:spacing w:line="360" w:lineRule="auto"/>
        <w:jc w:val="center"/>
        <w:outlineLvl w:val="2"/>
        <w:rPr>
          <w:rFonts w:hint="eastAsia" w:asciiTheme="minorEastAsia" w:hAnsiTheme="minorEastAsia" w:eastAsiaTheme="minorEastAsia" w:cstheme="minorEastAsia"/>
          <w:b/>
          <w:sz w:val="28"/>
        </w:rPr>
      </w:pPr>
    </w:p>
    <w:p w14:paraId="39A66C65">
      <w:pPr>
        <w:pStyle w:val="7"/>
        <w:spacing w:line="360" w:lineRule="auto"/>
        <w:jc w:val="center"/>
        <w:outlineLvl w:val="2"/>
        <w:rPr>
          <w:rFonts w:hint="eastAsia" w:asciiTheme="minorEastAsia" w:hAnsiTheme="minorEastAsia" w:eastAsiaTheme="minorEastAsia" w:cstheme="minorEastAsia"/>
          <w:b/>
          <w:sz w:val="28"/>
        </w:rPr>
      </w:pPr>
    </w:p>
    <w:p w14:paraId="0E24ECC9">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项目名称：福建省纤维检验中心2026年重点工业产品检验检测设备更新项目-第二批(二次)</w:t>
      </w:r>
    </w:p>
    <w:p w14:paraId="73B60190">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备案编号：CGXM-2026-350001-06648[2026]06369</w:t>
      </w:r>
    </w:p>
    <w:p w14:paraId="31FA5F5C">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w:t>
      </w:r>
      <w:bookmarkStart w:id="0" w:name="_GoBack"/>
      <w:r>
        <w:rPr>
          <w:rFonts w:hint="eastAsia" w:asciiTheme="minorEastAsia" w:hAnsiTheme="minorEastAsia" w:eastAsiaTheme="minorEastAsia" w:cstheme="minorEastAsia"/>
          <w:b/>
          <w:sz w:val="28"/>
        </w:rPr>
        <w:t>[350001]MZZJ[GK]2026012-1</w:t>
      </w:r>
      <w:bookmarkEnd w:id="0"/>
    </w:p>
    <w:p w14:paraId="4895A92A">
      <w:pPr>
        <w:pStyle w:val="7"/>
        <w:spacing w:line="360" w:lineRule="auto"/>
        <w:jc w:val="center"/>
        <w:outlineLvl w:val="2"/>
        <w:rPr>
          <w:rFonts w:hint="eastAsia" w:asciiTheme="minorEastAsia" w:hAnsiTheme="minorEastAsia" w:eastAsiaTheme="minorEastAsia" w:cstheme="minorEastAsia"/>
          <w:b/>
          <w:sz w:val="28"/>
          <w:lang w:eastAsia="zh-CN"/>
        </w:rPr>
      </w:pPr>
      <w:r>
        <w:rPr>
          <w:rFonts w:hint="eastAsia" w:asciiTheme="minorEastAsia" w:hAnsiTheme="minorEastAsia" w:cstheme="minorEastAsia"/>
          <w:b/>
          <w:sz w:val="28"/>
          <w:lang w:eastAsia="zh-CN"/>
        </w:rPr>
        <w:t>（</w:t>
      </w:r>
      <w:r>
        <w:rPr>
          <w:rFonts w:hint="eastAsia" w:asciiTheme="minorEastAsia" w:hAnsiTheme="minorEastAsia" w:cstheme="minorEastAsia"/>
          <w:b/>
          <w:sz w:val="28"/>
          <w:lang w:val="en-US" w:eastAsia="zh-CN"/>
        </w:rPr>
        <w:t>预公告版招标文件</w:t>
      </w:r>
      <w:r>
        <w:rPr>
          <w:rFonts w:hint="eastAsia" w:asciiTheme="minorEastAsia" w:hAnsiTheme="minorEastAsia" w:cstheme="minorEastAsia"/>
          <w:b/>
          <w:sz w:val="28"/>
          <w:lang w:eastAsia="zh-CN"/>
        </w:rPr>
        <w:t>）</w:t>
      </w:r>
    </w:p>
    <w:p w14:paraId="19A62D8C">
      <w:pPr>
        <w:pStyle w:val="7"/>
        <w:spacing w:line="360" w:lineRule="auto"/>
        <w:jc w:val="center"/>
        <w:outlineLvl w:val="2"/>
        <w:rPr>
          <w:rFonts w:hint="eastAsia" w:asciiTheme="minorEastAsia" w:hAnsiTheme="minorEastAsia" w:eastAsiaTheme="minorEastAsia" w:cstheme="minorEastAsia"/>
          <w:b/>
          <w:sz w:val="28"/>
        </w:rPr>
      </w:pPr>
    </w:p>
    <w:p w14:paraId="501BA007">
      <w:pPr>
        <w:pStyle w:val="7"/>
        <w:spacing w:line="360" w:lineRule="auto"/>
        <w:jc w:val="center"/>
        <w:outlineLvl w:val="2"/>
        <w:rPr>
          <w:rFonts w:hint="eastAsia" w:asciiTheme="minorEastAsia" w:hAnsiTheme="minorEastAsia" w:eastAsiaTheme="minorEastAsia" w:cstheme="minorEastAsia"/>
          <w:b/>
          <w:sz w:val="28"/>
        </w:rPr>
      </w:pPr>
    </w:p>
    <w:p w14:paraId="446D5B9C">
      <w:pPr>
        <w:pStyle w:val="7"/>
        <w:spacing w:line="360" w:lineRule="auto"/>
        <w:jc w:val="center"/>
        <w:outlineLvl w:val="2"/>
        <w:rPr>
          <w:rFonts w:hint="eastAsia" w:asciiTheme="minorEastAsia" w:hAnsiTheme="minorEastAsia" w:eastAsiaTheme="minorEastAsia" w:cstheme="minorEastAsia"/>
          <w:b/>
          <w:sz w:val="28"/>
        </w:rPr>
      </w:pPr>
    </w:p>
    <w:p w14:paraId="0AA16F35">
      <w:pPr>
        <w:pStyle w:val="7"/>
        <w:spacing w:line="360" w:lineRule="auto"/>
        <w:jc w:val="center"/>
        <w:outlineLvl w:val="2"/>
        <w:rPr>
          <w:rFonts w:hint="eastAsia" w:asciiTheme="minorEastAsia" w:hAnsiTheme="minorEastAsia" w:eastAsiaTheme="minorEastAsia" w:cstheme="minorEastAsia"/>
          <w:b/>
          <w:sz w:val="28"/>
        </w:rPr>
      </w:pPr>
    </w:p>
    <w:p w14:paraId="46E17085">
      <w:pPr>
        <w:pStyle w:val="7"/>
        <w:spacing w:line="360" w:lineRule="auto"/>
        <w:jc w:val="center"/>
        <w:outlineLvl w:val="2"/>
        <w:rPr>
          <w:rFonts w:hint="eastAsia" w:asciiTheme="minorEastAsia" w:hAnsiTheme="minorEastAsia" w:eastAsiaTheme="minorEastAsia" w:cstheme="minorEastAsia"/>
          <w:b/>
          <w:sz w:val="28"/>
        </w:rPr>
      </w:pPr>
    </w:p>
    <w:p w14:paraId="37FFBB22">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采购人：福建省纤维检验中心</w:t>
      </w:r>
    </w:p>
    <w:p w14:paraId="1CA3AC90">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代理机构：福建省闽咨造价咨询有限公司</w:t>
      </w:r>
    </w:p>
    <w:p w14:paraId="70D7E60C">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编制时间：2026年</w:t>
      </w:r>
      <w:r>
        <w:rPr>
          <w:rFonts w:hint="eastAsia" w:asciiTheme="minorEastAsia" w:hAnsiTheme="minorEastAsia" w:cstheme="minorEastAsia"/>
          <w:b/>
          <w:sz w:val="28"/>
          <w:lang w:val="en-US" w:eastAsia="zh-CN"/>
        </w:rPr>
        <w:t>10</w:t>
      </w:r>
      <w:r>
        <w:rPr>
          <w:rFonts w:hint="eastAsia" w:asciiTheme="minorEastAsia" w:hAnsiTheme="minorEastAsia" w:eastAsiaTheme="minorEastAsia" w:cstheme="minorEastAsia"/>
          <w:b/>
          <w:sz w:val="28"/>
        </w:rPr>
        <w:t>月</w:t>
      </w:r>
    </w:p>
    <w:p w14:paraId="242774BD">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F89B7BD">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第一章 投标邀请</w:t>
      </w:r>
    </w:p>
    <w:p w14:paraId="0A1239C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福建省闽咨造价咨询有限公司 采用公开招标方式组织 福建省纤维检验中心2026年重点工业产品检验检测设备更新项目-第二批(二次) （以下简称：“本项目”）的政府采购活动，现邀请供应商参加投标。</w:t>
      </w:r>
    </w:p>
    <w:p w14:paraId="0B7FA10C">
      <w:pPr>
        <w:pStyle w:val="7"/>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1、备案编号：CGXM-2026-350001-06648[2026]06369</w:t>
      </w:r>
    </w:p>
    <w:p w14:paraId="10E6B008">
      <w:pPr>
        <w:pStyle w:val="7"/>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2、项目编号：[350001]MZZJ[GK]2026012-1</w:t>
      </w:r>
    </w:p>
    <w:p w14:paraId="24399DEF">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3、预算金额、最高限价：详见《采购标的一览表》。</w:t>
      </w:r>
    </w:p>
    <w:p w14:paraId="2A18A94C">
      <w:pPr>
        <w:pStyle w:val="7"/>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4、招标内容及要求：详见《采购标的一览表》及招标文件第五章。</w:t>
      </w:r>
    </w:p>
    <w:p w14:paraId="270E5C47">
      <w:pPr>
        <w:pStyle w:val="7"/>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5、需要落实的政府采购政策</w:t>
      </w:r>
    </w:p>
    <w:p w14:paraId="2EA27B12">
      <w:pPr>
        <w:pStyle w:val="7"/>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进口产品：不适用</w:t>
      </w:r>
    </w:p>
    <w:p w14:paraId="756151CB">
      <w:pPr>
        <w:pStyle w:val="7"/>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节能产品：适用</w:t>
      </w:r>
    </w:p>
    <w:p w14:paraId="23B6FCC1">
      <w:pPr>
        <w:pStyle w:val="7"/>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环境标志产品：适用</w:t>
      </w:r>
    </w:p>
    <w:p w14:paraId="297ACB6D">
      <w:pPr>
        <w:pStyle w:val="7"/>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促进中小企业发展的相关政策：</w:t>
      </w:r>
    </w:p>
    <w:p w14:paraId="73945718">
      <w:pPr>
        <w:pStyle w:val="7"/>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采购包1：设置专门采购包</w:t>
      </w:r>
    </w:p>
    <w:p w14:paraId="3927347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面向的企业规模：小微企业</w:t>
      </w:r>
    </w:p>
    <w:p w14:paraId="245EE66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预留形式：设置专门采购包</w:t>
      </w:r>
    </w:p>
    <w:p w14:paraId="304A286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预留比例：100%</w:t>
      </w:r>
    </w:p>
    <w:p w14:paraId="1EA17A93">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6、投标人的资格要求</w:t>
      </w:r>
    </w:p>
    <w:p w14:paraId="61C946BB">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6.1法定条件：符合政府采购法第二十二条第一款规定的条件。</w:t>
      </w:r>
    </w:p>
    <w:p w14:paraId="091D5474">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6.2特定条件：</w:t>
      </w:r>
    </w:p>
    <w:p w14:paraId="29949BB7">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11"/>
        <w:gridCol w:w="7539"/>
      </w:tblGrid>
      <w:tr w14:paraId="268B18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pct"/>
          </w:tcPr>
          <w:p w14:paraId="2C79575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826" w:type="pct"/>
          </w:tcPr>
          <w:p w14:paraId="57E1322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7368E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pct"/>
          </w:tcPr>
          <w:p w14:paraId="53AD80F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3826" w:type="pct"/>
          </w:tcPr>
          <w:p w14:paraId="2FC3D52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30D7A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pct"/>
          </w:tcPr>
          <w:p w14:paraId="1C8246A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本采购包属于专门面向小微企业采购。</w:t>
            </w:r>
          </w:p>
        </w:tc>
        <w:tc>
          <w:tcPr>
            <w:tcW w:w="3826" w:type="pct"/>
          </w:tcPr>
          <w:p w14:paraId="78D6B06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为专门面向小微企业采购的货物类采购项目，所属行业为工业。根据财库〔2020〕46号第四条“在政府采购活动中，供应商提供的货物、工程或者服务符合下列情形的，享受本办法规定的小微企业扶持政策： 在货物采购项目中，货物由小微企业制造，即货物由小微企业生产且使用该小微企业商号或者注册商标。”残疾人福利性单位、监狱企业视同小型、微型企业。所投产品属于小型、微型企业、残疾人福利性单位或监狱企业制造的，投标时必须根据采购文件格式提供《中小企业声明函》或《残疾人福利性单位声明函》或“省级以上监狱管理局、戒毒管理局（含新疆生产建设兵团）出具的属于监狱企业的证明文件”，否则不予认定。</w:t>
            </w:r>
          </w:p>
        </w:tc>
      </w:tr>
    </w:tbl>
    <w:p w14:paraId="4345525D">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6.3是否接受联合体投标：</w:t>
      </w:r>
    </w:p>
    <w:p w14:paraId="769C27ED">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采购包1：不接受</w:t>
      </w:r>
    </w:p>
    <w:p w14:paraId="57D84C3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※根据上述资格要求，电子投标文件中应提交的“投标人的资格及资信证明文件”详见招标文件第四章。</w:t>
      </w:r>
    </w:p>
    <w:p w14:paraId="7306BE38">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7、招标文件的获取</w:t>
      </w:r>
    </w:p>
    <w:p w14:paraId="500E49D5">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7.1、招标文件获取期限：详见招标公告或更正公告，若不一致，以更正公告为准。</w:t>
      </w:r>
    </w:p>
    <w:p w14:paraId="1C1848F1">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21DC838A">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7.3、获取地点及方式：注册账号后，通过福建省政府采购网上公开信息系统以下载方式获取。</w:t>
      </w:r>
    </w:p>
    <w:p w14:paraId="04013B8F">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7.4、招标文件售价：0元。</w:t>
      </w:r>
    </w:p>
    <w:p w14:paraId="0D7AD1D3">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8、投标截止</w:t>
      </w:r>
    </w:p>
    <w:p w14:paraId="7BA0AFB3">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8.1、投标截止时间：详见招标公告或更正公告，若不一致，以更正公告为准。</w:t>
      </w:r>
    </w:p>
    <w:p w14:paraId="21E16E06">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8.2、投标人应在投标截止时间前按照福建省政府采购网上公开信息系统设定的操作流程将电子投标文件上传至福建省政府采购网上公开信息系统，否则投标将被拒绝。</w:t>
      </w:r>
    </w:p>
    <w:p w14:paraId="78B508C6">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9、开标时间及地点</w:t>
      </w:r>
    </w:p>
    <w:p w14:paraId="34DCEEBD">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详见招标公告或更正公告，若不一致，以更正公告为准。</w:t>
      </w:r>
    </w:p>
    <w:p w14:paraId="39562EA8">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10、公告期限</w:t>
      </w:r>
    </w:p>
    <w:p w14:paraId="673687BF">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10.1、招标公告的公告期限：自财政部和福建省财政厅指定的政府采购信息发布媒体最先发布公告之日起5个工作日。</w:t>
      </w:r>
    </w:p>
    <w:p w14:paraId="025FA28B">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10.2、招标文件公告期限：招标文件随同招标公告一并发布，其公告期限与招标公告的公告期限保持一致。</w:t>
      </w:r>
    </w:p>
    <w:p w14:paraId="249E1F0F">
      <w:pPr>
        <w:pStyle w:val="7"/>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11、采购人：福建省纤维检验中心</w:t>
      </w:r>
    </w:p>
    <w:p w14:paraId="276EAA57">
      <w:pPr>
        <w:pStyle w:val="7"/>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福州市仓山区照屿路17号</w:t>
      </w:r>
    </w:p>
    <w:p w14:paraId="6BD19AD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w:t>
      </w:r>
    </w:p>
    <w:p w14:paraId="6941595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 王菲</w:t>
      </w:r>
    </w:p>
    <w:p w14:paraId="1C70971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 0591-83562910</w:t>
      </w:r>
    </w:p>
    <w:p w14:paraId="2F23D38B">
      <w:pPr>
        <w:pStyle w:val="7"/>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12、代理机构：福建省闽咨造价咨询有限公司</w:t>
      </w:r>
    </w:p>
    <w:p w14:paraId="65730395">
      <w:pPr>
        <w:pStyle w:val="7"/>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福建省福州市鼓楼区五四路158号环球广场B区13层</w:t>
      </w:r>
    </w:p>
    <w:p w14:paraId="60618C5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350003</w:t>
      </w:r>
    </w:p>
    <w:p w14:paraId="7C5F802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 陈必、黄伟林、俞立燊、郑欣</w:t>
      </w:r>
    </w:p>
    <w:p w14:paraId="1DD1A7E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 0591-87677863</w:t>
      </w:r>
    </w:p>
    <w:p w14:paraId="2E336AC7">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附1：账户信息</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54"/>
      </w:tblGrid>
      <w:tr w14:paraId="020F87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6CC18E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投标保证金账户</w:t>
            </w:r>
          </w:p>
        </w:tc>
      </w:tr>
      <w:tr w14:paraId="43BE9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2FAF4D7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 福建省闽咨造价咨询有限公司</w:t>
            </w:r>
          </w:p>
        </w:tc>
      </w:tr>
      <w:tr w14:paraId="7002D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AADAD5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开户银行：供应商在福建省政府采购网上公开信息系统获取招标文件后，根据其提示自行选择要缴交的投标保证金托管银行。</w:t>
            </w:r>
          </w:p>
        </w:tc>
      </w:tr>
      <w:tr w14:paraId="2EC10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36DBCA7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72CB4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FBFF31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w:t>
            </w:r>
          </w:p>
        </w:tc>
      </w:tr>
      <w:tr w14:paraId="41B6A3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5000" w:type="pct"/>
          </w:tcPr>
          <w:p w14:paraId="0B441C5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1、投标人应认真核对账户信息，将投标保证金汇入以上账户，并自行承担因汇错投标保证金而产生的一切后果。</w:t>
            </w:r>
          </w:p>
          <w:p w14:paraId="4FBE700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2、投标人在转账或电汇的凭证上应按照以下格式注明，以便核对：“（项目编号：***）的投标保证金”。</w:t>
            </w:r>
          </w:p>
        </w:tc>
      </w:tr>
    </w:tbl>
    <w:p w14:paraId="1CA7AAC5">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附2：采购标的一览表</w:t>
      </w:r>
    </w:p>
    <w:p w14:paraId="7C4DC65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45FD2E2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采购包预算金额（元）: 2,150,000.00</w:t>
      </w:r>
    </w:p>
    <w:p w14:paraId="2ADEFB6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采购包最高限价（元）: 2,150,000.00</w:t>
      </w:r>
    </w:p>
    <w:p w14:paraId="07BD7BC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采购包保证金金额（元）: 21,500.00</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1"/>
        <w:gridCol w:w="1331"/>
        <w:gridCol w:w="1332"/>
        <w:gridCol w:w="1858"/>
        <w:gridCol w:w="1332"/>
        <w:gridCol w:w="1332"/>
        <w:gridCol w:w="1332"/>
      </w:tblGrid>
      <w:tr w14:paraId="60145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6" w:type="pct"/>
          </w:tcPr>
          <w:p w14:paraId="042F86E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676" w:type="pct"/>
          </w:tcPr>
          <w:p w14:paraId="7C3C0FA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676" w:type="pct"/>
          </w:tcPr>
          <w:p w14:paraId="09CB0A3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943" w:type="pct"/>
          </w:tcPr>
          <w:p w14:paraId="59591A7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标的金额 （元）</w:t>
            </w:r>
          </w:p>
        </w:tc>
        <w:tc>
          <w:tcPr>
            <w:tcW w:w="676" w:type="pct"/>
          </w:tcPr>
          <w:p w14:paraId="47E531D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76" w:type="pct"/>
          </w:tcPr>
          <w:p w14:paraId="09F3579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所属行业</w:t>
            </w:r>
          </w:p>
        </w:tc>
        <w:tc>
          <w:tcPr>
            <w:tcW w:w="676" w:type="pct"/>
          </w:tcPr>
          <w:p w14:paraId="501A2ED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是否允许进口产品</w:t>
            </w:r>
          </w:p>
        </w:tc>
      </w:tr>
      <w:tr w14:paraId="092A5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6" w:type="pct"/>
          </w:tcPr>
          <w:p w14:paraId="2470657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676" w:type="pct"/>
          </w:tcPr>
          <w:p w14:paraId="7CB9BE1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电感耦合等离子体发射光谱仪</w:t>
            </w:r>
          </w:p>
        </w:tc>
        <w:tc>
          <w:tcPr>
            <w:tcW w:w="676" w:type="pct"/>
          </w:tcPr>
          <w:p w14:paraId="6E7EDCB2">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w:t>
            </w:r>
          </w:p>
        </w:tc>
        <w:tc>
          <w:tcPr>
            <w:tcW w:w="943" w:type="pct"/>
          </w:tcPr>
          <w:p w14:paraId="79755A38">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700,000.00</w:t>
            </w:r>
          </w:p>
        </w:tc>
        <w:tc>
          <w:tcPr>
            <w:tcW w:w="676" w:type="pct"/>
          </w:tcPr>
          <w:p w14:paraId="0C36033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76" w:type="pct"/>
          </w:tcPr>
          <w:p w14:paraId="2529366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工业</w:t>
            </w:r>
          </w:p>
        </w:tc>
        <w:tc>
          <w:tcPr>
            <w:tcW w:w="676" w:type="pct"/>
          </w:tcPr>
          <w:p w14:paraId="281A26A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r>
      <w:tr w14:paraId="03DDF0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6" w:type="pct"/>
          </w:tcPr>
          <w:p w14:paraId="6D03C02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676" w:type="pct"/>
          </w:tcPr>
          <w:p w14:paraId="68F668D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电感耦合等离子体质谱仪</w:t>
            </w:r>
          </w:p>
        </w:tc>
        <w:tc>
          <w:tcPr>
            <w:tcW w:w="676" w:type="pct"/>
          </w:tcPr>
          <w:p w14:paraId="7C6439D5">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w:t>
            </w:r>
          </w:p>
        </w:tc>
        <w:tc>
          <w:tcPr>
            <w:tcW w:w="943" w:type="pct"/>
          </w:tcPr>
          <w:p w14:paraId="3818C332">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1,450,000.00</w:t>
            </w:r>
          </w:p>
        </w:tc>
        <w:tc>
          <w:tcPr>
            <w:tcW w:w="676" w:type="pct"/>
          </w:tcPr>
          <w:p w14:paraId="6888CE1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76" w:type="pct"/>
          </w:tcPr>
          <w:p w14:paraId="1D469EC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工业</w:t>
            </w:r>
          </w:p>
        </w:tc>
        <w:tc>
          <w:tcPr>
            <w:tcW w:w="676" w:type="pct"/>
          </w:tcPr>
          <w:p w14:paraId="2D1DD9D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r>
    </w:tbl>
    <w:p w14:paraId="39721E4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本国产品标准适用范围：</w:t>
      </w:r>
    </w:p>
    <w:p w14:paraId="12B9027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4991"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2"/>
        <w:gridCol w:w="1964"/>
        <w:gridCol w:w="3483"/>
        <w:gridCol w:w="3557"/>
      </w:tblGrid>
      <w:tr w14:paraId="02CEEE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3" w:type="pct"/>
          </w:tcPr>
          <w:p w14:paraId="49087E99">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998" w:type="pct"/>
          </w:tcPr>
          <w:p w14:paraId="063ECA74">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采购品目名称</w:t>
            </w:r>
          </w:p>
        </w:tc>
        <w:tc>
          <w:tcPr>
            <w:tcW w:w="1770" w:type="pct"/>
          </w:tcPr>
          <w:p w14:paraId="110C863B">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1807" w:type="pct"/>
          </w:tcPr>
          <w:p w14:paraId="4B81BCE9">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产品名称</w:t>
            </w:r>
          </w:p>
        </w:tc>
      </w:tr>
      <w:tr w14:paraId="42B9F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3" w:type="pct"/>
          </w:tcPr>
          <w:p w14:paraId="18DE23A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998" w:type="pct"/>
          </w:tcPr>
          <w:p w14:paraId="6A0975B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色谱仪</w:t>
            </w:r>
          </w:p>
        </w:tc>
        <w:tc>
          <w:tcPr>
            <w:tcW w:w="1770" w:type="pct"/>
          </w:tcPr>
          <w:p w14:paraId="744208C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电感耦合等离子体发射光谱仪</w:t>
            </w:r>
          </w:p>
        </w:tc>
        <w:tc>
          <w:tcPr>
            <w:tcW w:w="1807" w:type="pct"/>
          </w:tcPr>
          <w:p w14:paraId="78B62F4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电感耦合等离子体发射光谱仪</w:t>
            </w:r>
          </w:p>
        </w:tc>
      </w:tr>
      <w:tr w14:paraId="37BEA7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3" w:type="pct"/>
          </w:tcPr>
          <w:p w14:paraId="56EA230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998" w:type="pct"/>
          </w:tcPr>
          <w:p w14:paraId="6137E7B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质谱仪</w:t>
            </w:r>
          </w:p>
        </w:tc>
        <w:tc>
          <w:tcPr>
            <w:tcW w:w="1770" w:type="pct"/>
          </w:tcPr>
          <w:p w14:paraId="70AC662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电感耦合等离子体质谱仪</w:t>
            </w:r>
          </w:p>
        </w:tc>
        <w:tc>
          <w:tcPr>
            <w:tcW w:w="1807" w:type="pct"/>
          </w:tcPr>
          <w:p w14:paraId="33922CD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电感耦合等离子体质谱仪</w:t>
            </w:r>
          </w:p>
        </w:tc>
      </w:tr>
    </w:tbl>
    <w:p w14:paraId="4569F8D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6F5B55B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（1）报价要求：</w:t>
      </w:r>
    </w:p>
    <w:tbl>
      <w:tblPr>
        <w:tblStyle w:val="5"/>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2"/>
        <w:gridCol w:w="2504"/>
        <w:gridCol w:w="1223"/>
        <w:gridCol w:w="1109"/>
        <w:gridCol w:w="1751"/>
        <w:gridCol w:w="1568"/>
        <w:gridCol w:w="1177"/>
      </w:tblGrid>
      <w:tr w14:paraId="3E302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5" w:hRule="atLeast"/>
        </w:trPr>
        <w:tc>
          <w:tcPr>
            <w:tcW w:w="260" w:type="pct"/>
          </w:tcPr>
          <w:p w14:paraId="17F63EB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271" w:type="pct"/>
          </w:tcPr>
          <w:p w14:paraId="3413CBF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报价内容</w:t>
            </w:r>
          </w:p>
        </w:tc>
        <w:tc>
          <w:tcPr>
            <w:tcW w:w="621" w:type="pct"/>
          </w:tcPr>
          <w:p w14:paraId="17B344F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563" w:type="pct"/>
          </w:tcPr>
          <w:p w14:paraId="6AE7509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889" w:type="pct"/>
          </w:tcPr>
          <w:p w14:paraId="004117B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796" w:type="pct"/>
          </w:tcPr>
          <w:p w14:paraId="05271CA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597" w:type="pct"/>
          </w:tcPr>
          <w:p w14:paraId="6247C2B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4611C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0" w:type="pct"/>
          </w:tcPr>
          <w:p w14:paraId="0B7CA7C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271" w:type="pct"/>
          </w:tcPr>
          <w:p w14:paraId="5DAE787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电感耦合等离子体发射光谱仪</w:t>
            </w:r>
          </w:p>
        </w:tc>
        <w:tc>
          <w:tcPr>
            <w:tcW w:w="621" w:type="pct"/>
          </w:tcPr>
          <w:p w14:paraId="3AC3207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563" w:type="pct"/>
          </w:tcPr>
          <w:p w14:paraId="2FD1203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889" w:type="pct"/>
          </w:tcPr>
          <w:p w14:paraId="1F73CFC2">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700,000.00</w:t>
            </w:r>
          </w:p>
        </w:tc>
        <w:tc>
          <w:tcPr>
            <w:tcW w:w="796" w:type="pct"/>
          </w:tcPr>
          <w:p w14:paraId="4673983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597" w:type="pct"/>
          </w:tcPr>
          <w:p w14:paraId="331979F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r w14:paraId="61B77A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0" w:type="pct"/>
          </w:tcPr>
          <w:p w14:paraId="7E63576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271" w:type="pct"/>
          </w:tcPr>
          <w:p w14:paraId="7EFF384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电感耦合等离子体质谱仪</w:t>
            </w:r>
          </w:p>
        </w:tc>
        <w:tc>
          <w:tcPr>
            <w:tcW w:w="621" w:type="pct"/>
          </w:tcPr>
          <w:p w14:paraId="27D6903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563" w:type="pct"/>
          </w:tcPr>
          <w:p w14:paraId="6AE0B31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889" w:type="pct"/>
          </w:tcPr>
          <w:p w14:paraId="626A3EEF">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1,450,000.00</w:t>
            </w:r>
          </w:p>
        </w:tc>
        <w:tc>
          <w:tcPr>
            <w:tcW w:w="796" w:type="pct"/>
          </w:tcPr>
          <w:p w14:paraId="58813F3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597" w:type="pct"/>
          </w:tcPr>
          <w:p w14:paraId="5E1C0F7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74EDCB3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（2）报价明细要求：</w:t>
      </w:r>
    </w:p>
    <w:p w14:paraId="2B6C173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电感耦合等离子体发射光谱仪</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6"/>
        <w:gridCol w:w="2270"/>
        <w:gridCol w:w="2270"/>
        <w:gridCol w:w="497"/>
        <w:gridCol w:w="497"/>
        <w:gridCol w:w="1548"/>
        <w:gridCol w:w="907"/>
        <w:gridCol w:w="1363"/>
      </w:tblGrid>
      <w:tr w14:paraId="7F6D0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2" w:type="pct"/>
          </w:tcPr>
          <w:p w14:paraId="0033751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151" w:type="pct"/>
          </w:tcPr>
          <w:p w14:paraId="5C05DEC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报价明细内容</w:t>
            </w:r>
          </w:p>
        </w:tc>
        <w:tc>
          <w:tcPr>
            <w:tcW w:w="1151" w:type="pct"/>
          </w:tcPr>
          <w:p w14:paraId="10E887D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报价要求</w:t>
            </w:r>
          </w:p>
        </w:tc>
        <w:tc>
          <w:tcPr>
            <w:tcW w:w="252" w:type="pct"/>
          </w:tcPr>
          <w:p w14:paraId="7CA2EB3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252" w:type="pct"/>
          </w:tcPr>
          <w:p w14:paraId="4848123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785" w:type="pct"/>
          </w:tcPr>
          <w:p w14:paraId="4C26A3D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460" w:type="pct"/>
          </w:tcPr>
          <w:p w14:paraId="752D099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691" w:type="pct"/>
          </w:tcPr>
          <w:p w14:paraId="6B295F2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1258B7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2" w:type="pct"/>
          </w:tcPr>
          <w:p w14:paraId="32B5780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151" w:type="pct"/>
          </w:tcPr>
          <w:p w14:paraId="7047FDB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电感耦合等离子体发射光谱仪</w:t>
            </w:r>
          </w:p>
        </w:tc>
        <w:tc>
          <w:tcPr>
            <w:tcW w:w="1151" w:type="pct"/>
          </w:tcPr>
          <w:p w14:paraId="6F44D1C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电感耦合等离子体发射光谱仪</w:t>
            </w:r>
          </w:p>
        </w:tc>
        <w:tc>
          <w:tcPr>
            <w:tcW w:w="252" w:type="pct"/>
          </w:tcPr>
          <w:p w14:paraId="458FE13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252" w:type="pct"/>
          </w:tcPr>
          <w:p w14:paraId="612BD4E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785" w:type="pct"/>
          </w:tcPr>
          <w:p w14:paraId="6937757C">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700,000.00</w:t>
            </w:r>
          </w:p>
        </w:tc>
        <w:tc>
          <w:tcPr>
            <w:tcW w:w="460" w:type="pct"/>
          </w:tcPr>
          <w:p w14:paraId="348FA9D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691" w:type="pct"/>
          </w:tcPr>
          <w:p w14:paraId="6607323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013D544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电感耦合等离子体质谱仪</w:t>
      </w:r>
    </w:p>
    <w:tbl>
      <w:tblPr>
        <w:tblStyle w:val="5"/>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4"/>
        <w:gridCol w:w="2210"/>
        <w:gridCol w:w="2210"/>
        <w:gridCol w:w="485"/>
        <w:gridCol w:w="485"/>
        <w:gridCol w:w="1763"/>
        <w:gridCol w:w="883"/>
        <w:gridCol w:w="1326"/>
      </w:tblGrid>
      <w:tr w14:paraId="404C62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6" w:type="pct"/>
          </w:tcPr>
          <w:p w14:paraId="0FAD091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122" w:type="pct"/>
          </w:tcPr>
          <w:p w14:paraId="5E5DEE5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报价明细内容</w:t>
            </w:r>
          </w:p>
        </w:tc>
        <w:tc>
          <w:tcPr>
            <w:tcW w:w="1122" w:type="pct"/>
          </w:tcPr>
          <w:p w14:paraId="46D034F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报价要求</w:t>
            </w:r>
          </w:p>
        </w:tc>
        <w:tc>
          <w:tcPr>
            <w:tcW w:w="246" w:type="pct"/>
          </w:tcPr>
          <w:p w14:paraId="6DC26E1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246" w:type="pct"/>
          </w:tcPr>
          <w:p w14:paraId="1556E91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895" w:type="pct"/>
          </w:tcPr>
          <w:p w14:paraId="4DD3D21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448" w:type="pct"/>
          </w:tcPr>
          <w:p w14:paraId="34965E3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673" w:type="pct"/>
          </w:tcPr>
          <w:p w14:paraId="1838055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329810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6" w:type="pct"/>
          </w:tcPr>
          <w:p w14:paraId="7B1A63D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122" w:type="pct"/>
          </w:tcPr>
          <w:p w14:paraId="002F224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电感耦合等离子体质谱仪</w:t>
            </w:r>
          </w:p>
        </w:tc>
        <w:tc>
          <w:tcPr>
            <w:tcW w:w="1122" w:type="pct"/>
          </w:tcPr>
          <w:p w14:paraId="60BB666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电感耦合等离子体质谱仪</w:t>
            </w:r>
          </w:p>
        </w:tc>
        <w:tc>
          <w:tcPr>
            <w:tcW w:w="246" w:type="pct"/>
          </w:tcPr>
          <w:p w14:paraId="77B8282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246" w:type="pct"/>
          </w:tcPr>
          <w:p w14:paraId="6D73A5C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895" w:type="pct"/>
          </w:tcPr>
          <w:p w14:paraId="2DA1D64F">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1,450,000.00</w:t>
            </w:r>
          </w:p>
        </w:tc>
        <w:tc>
          <w:tcPr>
            <w:tcW w:w="448" w:type="pct"/>
          </w:tcPr>
          <w:p w14:paraId="47FB077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673" w:type="pct"/>
          </w:tcPr>
          <w:p w14:paraId="6BBF081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78285001">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DF88F06">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第二章 投标人须知前附表</w:t>
      </w:r>
    </w:p>
    <w:p w14:paraId="6B9FC0E7">
      <w:pPr>
        <w:pStyle w:val="7"/>
        <w:spacing w:line="360" w:lineRule="auto"/>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一、投标人须知前附表1</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6"/>
        <w:gridCol w:w="1616"/>
        <w:gridCol w:w="7312"/>
      </w:tblGrid>
      <w:tr w14:paraId="04A2F1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3"/>
          </w:tcPr>
          <w:p w14:paraId="0A21457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特别提示：本表与招标文件对应章节的内容若不一致，以本表为准。</w:t>
            </w:r>
          </w:p>
        </w:tc>
      </w:tr>
      <w:tr w14:paraId="729DE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7E248FE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819" w:type="pct"/>
          </w:tcPr>
          <w:p w14:paraId="32F0BEE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w:t>
            </w:r>
          </w:p>
          <w:p w14:paraId="13F7B87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（第三章）</w:t>
            </w:r>
          </w:p>
        </w:tc>
        <w:tc>
          <w:tcPr>
            <w:tcW w:w="3709" w:type="pct"/>
          </w:tcPr>
          <w:p w14:paraId="1C08335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14:paraId="0DD96A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5F40327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819" w:type="pct"/>
          </w:tcPr>
          <w:p w14:paraId="7C46218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w:t>
            </w:r>
          </w:p>
        </w:tc>
        <w:tc>
          <w:tcPr>
            <w:tcW w:w="3709" w:type="pct"/>
          </w:tcPr>
          <w:p w14:paraId="2AFEDCA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是否组织现场考察或召开开标前答疑会：</w:t>
            </w:r>
          </w:p>
          <w:p w14:paraId="3E550EF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采购包1：不组织</w:t>
            </w:r>
          </w:p>
        </w:tc>
      </w:tr>
      <w:tr w14:paraId="3508F1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1C20DE1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819" w:type="pct"/>
          </w:tcPr>
          <w:p w14:paraId="2E45411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3709" w:type="pct"/>
          </w:tcPr>
          <w:p w14:paraId="1DB7442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投标文件的份数：</w:t>
            </w:r>
          </w:p>
          <w:p w14:paraId="182AB47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（1）可读介质（光盘或U盘） 0 份：投标人应将其上传至福建省政府采购网上公开信息系统的电子投标文件在该可读介质中另存 0 份。</w:t>
            </w:r>
          </w:p>
          <w:p w14:paraId="7244A8C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（2）电子投标文件：详见投标人须知前附表2《关于电子招标投标活动的专门规定》。</w:t>
            </w:r>
          </w:p>
        </w:tc>
      </w:tr>
      <w:tr w14:paraId="254869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3261CAD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819" w:type="pct"/>
          </w:tcPr>
          <w:p w14:paraId="52B9566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10.7-（1）</w:t>
            </w:r>
          </w:p>
        </w:tc>
        <w:tc>
          <w:tcPr>
            <w:tcW w:w="3709" w:type="pct"/>
          </w:tcPr>
          <w:p w14:paraId="45F5CF8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是否允许中标人将本项目的非主体、非关键性工作进行分包：</w:t>
            </w:r>
          </w:p>
          <w:p w14:paraId="7B334AD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采购包1：不允许合同分包；</w:t>
            </w:r>
          </w:p>
        </w:tc>
      </w:tr>
      <w:tr w14:paraId="62B642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64CDAFB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819" w:type="pct"/>
          </w:tcPr>
          <w:p w14:paraId="6B4880B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10.8-（1）</w:t>
            </w:r>
          </w:p>
        </w:tc>
        <w:tc>
          <w:tcPr>
            <w:tcW w:w="3709" w:type="pct"/>
          </w:tcPr>
          <w:p w14:paraId="235BB35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投标有效期：投标截止时间起 90 个日历日。</w:t>
            </w:r>
          </w:p>
        </w:tc>
      </w:tr>
      <w:tr w14:paraId="6BA1C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06ACF9B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819" w:type="pct"/>
          </w:tcPr>
          <w:p w14:paraId="34B9634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w:t>
            </w:r>
          </w:p>
        </w:tc>
        <w:tc>
          <w:tcPr>
            <w:tcW w:w="3709" w:type="pct"/>
          </w:tcPr>
          <w:p w14:paraId="0797027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确定中标候选人名单：</w:t>
            </w:r>
          </w:p>
          <w:p w14:paraId="7BA227F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14:paraId="437A2C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41C2B53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819" w:type="pct"/>
          </w:tcPr>
          <w:p w14:paraId="2DF3C4D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w:t>
            </w:r>
          </w:p>
        </w:tc>
        <w:tc>
          <w:tcPr>
            <w:tcW w:w="3709" w:type="pct"/>
          </w:tcPr>
          <w:p w14:paraId="48A1FA2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本项目中标人的确定（以采购包为单位）：</w:t>
            </w:r>
          </w:p>
          <w:p w14:paraId="5D5D058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采购人应在政府采购招投标管理办法规定的时限内确定中标人。</w:t>
            </w:r>
          </w:p>
          <w:p w14:paraId="6059FE4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（2）若出现中标候选人并列情形，则按照下列方式确定中标人：</w:t>
            </w:r>
          </w:p>
          <w:p w14:paraId="511D0E4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①招标文件规定的方式：</w:t>
            </w:r>
          </w:p>
          <w:p w14:paraId="15F55AD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评标总得分（FA）相同的，按照评标价（即价格扣除后的投标报价）由低到高顺序排列。 若评标总得分（FA）且评标价（即价格扣除后的投标报价）均相同，按技术项（F2）得分高的投标人将被排序在前；若前者仍都相同的，则在有关监督人员的监督下采用随机抽取方法确定排序。</w:t>
            </w:r>
          </w:p>
          <w:p w14:paraId="50F7219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②若本款第①点规定方式为“无”，则按照下列方式确定：</w:t>
            </w:r>
          </w:p>
          <w:p w14:paraId="5F73A0F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随机抽取</w:t>
            </w:r>
          </w:p>
          <w:p w14:paraId="0847359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③若本款第①、②点规定方式均为“无”，则按照下列方式确定：随机抽取。</w:t>
            </w:r>
          </w:p>
          <w:p w14:paraId="4CD8DB0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（3）本项目确定的中标人家数：</w:t>
            </w:r>
          </w:p>
          <w:p w14:paraId="051B6B3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14:paraId="4271C4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12A81B7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819" w:type="pct"/>
          </w:tcPr>
          <w:p w14:paraId="1F1587D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w:t>
            </w:r>
          </w:p>
        </w:tc>
        <w:tc>
          <w:tcPr>
            <w:tcW w:w="3709" w:type="pct"/>
          </w:tcPr>
          <w:p w14:paraId="6876559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合同签订时限： 自中标通知书发出之日起30个日历日内。</w:t>
            </w:r>
          </w:p>
        </w:tc>
      </w:tr>
      <w:tr w14:paraId="5E5894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7983DAF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819" w:type="pct"/>
          </w:tcPr>
          <w:p w14:paraId="414FC63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15.1-（2）</w:t>
            </w:r>
          </w:p>
        </w:tc>
        <w:tc>
          <w:tcPr>
            <w:tcW w:w="3709" w:type="pct"/>
          </w:tcPr>
          <w:p w14:paraId="3EA996A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质疑函原件应采用下列方式提交：书面形式。</w:t>
            </w:r>
          </w:p>
        </w:tc>
      </w:tr>
      <w:tr w14:paraId="418ED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034B903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819" w:type="pct"/>
          </w:tcPr>
          <w:p w14:paraId="2C67052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w:t>
            </w:r>
          </w:p>
        </w:tc>
        <w:tc>
          <w:tcPr>
            <w:tcW w:w="3709" w:type="pct"/>
          </w:tcPr>
          <w:p w14:paraId="66DE56F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招标文件的质疑</w:t>
            </w:r>
          </w:p>
          <w:p w14:paraId="4D5038A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（1）潜在投标人可在质疑时效期间内对招标文件以书面形式提出质疑。</w:t>
            </w:r>
          </w:p>
          <w:p w14:paraId="76F43F7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（2）质疑时效期间：应在依法获取招标文件之日起7个工作日内向 福建省闽咨造价咨询有限公司 提出，依法获取招标文件的时间以福建省政府采购网上公开信息系统记载的为准。</w:t>
            </w:r>
          </w:p>
          <w:p w14:paraId="716CF57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※除上述规定外，对招标文件提出的质疑还应符合招标文件第三章第15.1条的有关规定。</w:t>
            </w:r>
          </w:p>
        </w:tc>
      </w:tr>
      <w:tr w14:paraId="7BE43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070FB6F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19" w:type="pct"/>
          </w:tcPr>
          <w:p w14:paraId="37EE227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w:t>
            </w:r>
          </w:p>
        </w:tc>
        <w:tc>
          <w:tcPr>
            <w:tcW w:w="3709" w:type="pct"/>
          </w:tcPr>
          <w:p w14:paraId="24AA2F3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监督管理部门： 福建省财政厅政府采购监督管理办公室 （仅限依法进行政府采购的货物或服务类项目）。</w:t>
            </w:r>
          </w:p>
        </w:tc>
      </w:tr>
      <w:tr w14:paraId="150335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0656BB6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819" w:type="pct"/>
          </w:tcPr>
          <w:p w14:paraId="21AB0DC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w:t>
            </w:r>
          </w:p>
        </w:tc>
        <w:tc>
          <w:tcPr>
            <w:tcW w:w="3709" w:type="pct"/>
          </w:tcPr>
          <w:p w14:paraId="002A4CA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财政部和福建省财政厅指定的政府采购信息发布媒体（以下简称：“指定媒体”）：</w:t>
            </w:r>
          </w:p>
          <w:p w14:paraId="350A6C7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（1）中国政府采购网，网址www.ccgp.gov.cn。</w:t>
            </w:r>
          </w:p>
          <w:p w14:paraId="6981CF2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（2）中国政府采购网福建分网（福建省政府采购网），网址zfcg.czt.fujian.gov.cn。</w:t>
            </w:r>
          </w:p>
          <w:p w14:paraId="1E597F3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※若出现上述指定媒体信息不一致情形，应以中国政府采购网福建分网（福建省政府采购网）发布的为准。</w:t>
            </w:r>
          </w:p>
        </w:tc>
      </w:tr>
      <w:tr w14:paraId="627F9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0" w:type="pct"/>
          </w:tcPr>
          <w:p w14:paraId="742E0DA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819" w:type="pct"/>
          </w:tcPr>
          <w:p w14:paraId="4C1C911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p>
        </w:tc>
        <w:tc>
          <w:tcPr>
            <w:tcW w:w="3709" w:type="pct"/>
          </w:tcPr>
          <w:p w14:paraId="35E893C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其他事项：</w:t>
            </w:r>
          </w:p>
          <w:p w14:paraId="040F04A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(1)本项目代理服务费：</w:t>
            </w:r>
          </w:p>
          <w:p w14:paraId="42C450B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本项目收取代理服务费</w:t>
            </w:r>
          </w:p>
          <w:p w14:paraId="483572C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代理服务费用收取对象：中标/成交供应商</w:t>
            </w:r>
          </w:p>
          <w:p w14:paraId="29EEAEC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收费标准：按照各合同包中标金额的差额定率累进法计算：计算标准：100万元以内按照1.5%收取，100-500万元按照1.1%收取，500-1000万元按照0.80%收取，1000-5000万元按照0.50%收取；由中标人在领取中标通知书前以现金、转账等付款方式一次性付清，各投标人报价时需注意。招标代理服务费专户：户名：福建省闽咨造价咨询有限公司；账号：351008010018150009287；开户行：交通银行福建省分行营业部。</w:t>
            </w:r>
          </w:p>
          <w:p w14:paraId="39FDB2A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(2)其他：</w:t>
            </w:r>
          </w:p>
          <w:p w14:paraId="71D40DC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远程开标的规定：①本项目支持远程开标，投标人可通过远程线上参与开标，具体系统操作指南详见福建省政府采购网首页上相关操作手册。②本项目开标过程中解密及远程签章的操作时限均为一个采购包30分钟，请投标人务必密切关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 2.2无效投标及废标条款：以下为可能导致无效投标或废标的条款，具体内容详见招标文件各章节，请各投标人认真查看对照。①出现投标人须知前附表2关于电子招标投标活动的专门规定中投标无效规定的；②出现第三章投标无效规定的；③出现第四章投标无效规定的；④出现第五章招标内容及要求投标无效规定的；⑤出现第五章招标内容及要求中“★”标示的内容为负偏离的；⑥符合专业条件的投标人或者对招标文件作实质响应的投标人不足三家的；⑦出现影响采购公正的违法、违规行为的；⑧投标人的报价均超过了采购预算或最高限价，采购人不能支付的；⑨因重大变故，采购任务取消的。 2.3质疑受理的其它要求：在法定质疑期内质疑人须一次性提出针对同一采购程序环节的质疑，二（多）次质疑不予受理。质疑人递交质疑函时还应出具质疑人已在福建省政府采购网上公开信息系统上获取招标文件的证明文件（体现查看时间或获取招标文件时间）【查看时间或获取招标文件时间以福建省政府采购网上公开信息系统记载为准】。</w:t>
            </w:r>
          </w:p>
        </w:tc>
      </w:tr>
      <w:tr w14:paraId="71E39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0" w:type="pct"/>
            <w:gridSpan w:val="2"/>
          </w:tcPr>
          <w:p w14:paraId="795C0A9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3709" w:type="pct"/>
          </w:tcPr>
          <w:p w14:paraId="4849FB3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后有投标人须知前附表2，请勿遗漏。</w:t>
            </w:r>
          </w:p>
        </w:tc>
      </w:tr>
    </w:tbl>
    <w:p w14:paraId="1DE06262">
      <w:pPr>
        <w:pStyle w:val="7"/>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二、投标人须知前附表2</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8"/>
        <w:gridCol w:w="8776"/>
      </w:tblGrid>
      <w:tr w14:paraId="251DD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2"/>
          </w:tcPr>
          <w:p w14:paraId="3EB2276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关于电子招标投标活动的专门规定</w:t>
            </w:r>
          </w:p>
        </w:tc>
      </w:tr>
      <w:tr w14:paraId="6865B9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7" w:type="pct"/>
          </w:tcPr>
          <w:p w14:paraId="56736AF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4452" w:type="pct"/>
          </w:tcPr>
          <w:p w14:paraId="005AFCE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14:paraId="16DF9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7" w:type="pct"/>
          </w:tcPr>
          <w:p w14:paraId="76692BD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4452" w:type="pct"/>
          </w:tcPr>
          <w:p w14:paraId="57FDCB7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（1）电子招标投标活动的专门规定适用本项目电子招标投标活动。</w:t>
            </w:r>
          </w:p>
          <w:p w14:paraId="45F744C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（2）将招标文件</w:t>
            </w:r>
          </w:p>
          <w:p w14:paraId="6F23DFD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 的内容修正为下列内容：</w:t>
            </w:r>
          </w:p>
          <w:p w14:paraId="174AE24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 后适用本项目的电子招标投标活动。</w:t>
            </w:r>
          </w:p>
          <w:p w14:paraId="16B4048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（3）将下列内容增列为招标文件的组成部分（以下简称：“增列内容”）适用本项目的电子招标投标活动，若增列内容与招标文件其他章节内容有冲突，应以增列内容为准：</w:t>
            </w:r>
          </w:p>
          <w:p w14:paraId="6D1982A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①电子招标投标活动的具体操作流程以福建省政府采购网上公开信息系统设定的为准。</w:t>
            </w:r>
          </w:p>
          <w:p w14:paraId="6254573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②关于电子投标文件：</w:t>
            </w:r>
          </w:p>
          <w:p w14:paraId="46469AB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a.投标人应按照福建省政府采购网上公开信息系统设定的评审节点编制电子投标文件，否则资格审查小组、评标委员会将按照不利于投标人的内容进行认定。</w:t>
            </w:r>
          </w:p>
          <w:p w14:paraId="536BDA6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596FC13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③关于证明材料或资料：</w:t>
            </w:r>
          </w:p>
          <w:p w14:paraId="307146E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404286B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38B1A99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④关于“全称”、“投标人代表签字”及“加盖单位公章”：</w:t>
            </w:r>
          </w:p>
          <w:p w14:paraId="5A95340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a.在电子投标文件中，涉及“全称”和“投标人代表签字”的内容可使用打字录入方式完成。</w:t>
            </w:r>
          </w:p>
          <w:p w14:paraId="67ECBDC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b.在电子投标文件中，涉及“加盖单位公章”的内容应使用投标人的CA证书完成，否则投标无效。</w:t>
            </w:r>
          </w:p>
          <w:p w14:paraId="4D97735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c.在电子投标文件中，若投标人按照本增列内容第④点第b项规定加盖其单位公章，则出现无全称、或投标人代表未签字等情形，不视为投标无效。</w:t>
            </w:r>
          </w:p>
          <w:p w14:paraId="77F79A5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⑤关于投标人的CA证书：</w:t>
            </w:r>
          </w:p>
          <w:p w14:paraId="62E80A7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a.投标人的CA证书应在系统规定时间内使用CA证书进行电子投标文件的解密操作，逾期未解密的视为放弃投标。</w:t>
            </w:r>
          </w:p>
          <w:p w14:paraId="0558C23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b.投标人的CA证书可采用信封（包括但不限于：信封、档案袋、文件袋等）作为外包装进行单独包装。外包装密封、不密封皆可。</w:t>
            </w:r>
          </w:p>
          <w:p w14:paraId="155DD23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c.投标人的CA证书或外包装应标记“项目名称、项目编号、投标人的全称”等内容，以方便识别、使用。</w:t>
            </w:r>
          </w:p>
          <w:p w14:paraId="15B24CC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d.投标人的CA证书应能正常、有效使用，否则产生不利后果由投标人承担责任。</w:t>
            </w:r>
          </w:p>
          <w:p w14:paraId="0F726E6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⑥关于投标截止时间过后</w:t>
            </w:r>
          </w:p>
          <w:p w14:paraId="7F05CFB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a.未按招标文件规定提交投标保证金的，其投标将按无效投标处理。</w:t>
            </w:r>
          </w:p>
          <w:p w14:paraId="574B1B0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b.有下列情形之一的，其投标无效,其保证金不予退还或通过投标保函进行索赔：</w:t>
            </w:r>
          </w:p>
          <w:p w14:paraId="05AB7C9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b1不同投标人的电子投标文件具有相同内部识别码；</w:t>
            </w:r>
          </w:p>
          <w:p w14:paraId="40CC92C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b2不同投标人的投标保证金从同一单位或个人的账户转出；</w:t>
            </w:r>
          </w:p>
          <w:p w14:paraId="6CD5625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b3投标人的投标保证金同一采购包下有其他投标人提交的投标保证金；</w:t>
            </w:r>
          </w:p>
          <w:p w14:paraId="3FA843F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b4不同投标人存在串通投标的其他情形。</w:t>
            </w:r>
          </w:p>
          <w:p w14:paraId="21B64CA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30BC6E9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⑧其他：无</w:t>
            </w:r>
          </w:p>
        </w:tc>
      </w:tr>
    </w:tbl>
    <w:p w14:paraId="09ECE1DD">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page"/>
      </w:r>
    </w:p>
    <w:p w14:paraId="378FB7CD">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第三章 投标人须知</w:t>
      </w:r>
    </w:p>
    <w:p w14:paraId="5D5E519C">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一、总则</w:t>
      </w:r>
    </w:p>
    <w:p w14:paraId="59ED613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1、适用范围</w:t>
      </w:r>
    </w:p>
    <w:p w14:paraId="7B5C41A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1.1适用于招标文件载明项目的政府采购活动（以下简称：“本次采购活动”）。</w:t>
      </w:r>
    </w:p>
    <w:p w14:paraId="7DA5BBD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2、定义</w:t>
      </w:r>
    </w:p>
    <w:p w14:paraId="171A957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2.1“采购标的”指招标文件载明的需要采购的货物或服务。</w:t>
      </w:r>
    </w:p>
    <w:p w14:paraId="64CED2C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2.2“潜在投标人”指按照招标文件第一章第7条规定获取招标文件且有意向参加本项目投标的供应商。</w:t>
      </w:r>
    </w:p>
    <w:p w14:paraId="638BABB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2.3“投标人”指按照招标文件第一章第7条规定获取招标文件并参加本项目投标的供应商。</w:t>
      </w:r>
    </w:p>
    <w:p w14:paraId="7888672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2.4“单位负责人”指单位法定代表人或法律、法规规定代表单位行使职权的主要负责人。</w:t>
      </w:r>
    </w:p>
    <w:p w14:paraId="77FB3AC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2.5“投标人代表”指投标人的单位负责人或“单位负责人授权书”中载明的接受授权方。</w:t>
      </w:r>
    </w:p>
    <w:p w14:paraId="2874B6E9">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二、投标人</w:t>
      </w:r>
    </w:p>
    <w:p w14:paraId="33DA903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3、合格投标人</w:t>
      </w:r>
    </w:p>
    <w:p w14:paraId="18D2C00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3.1一般规定</w:t>
      </w:r>
    </w:p>
    <w:p w14:paraId="67017B0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169535F8">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7DF3AB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（2）投标人的资格要求：详见招标文件第一章。</w:t>
      </w:r>
    </w:p>
    <w:p w14:paraId="517AF76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3.2若本项目接受联合体投标且投标人为联合体，则联合体各方应遵守本章第3.1条规定，同时还应遵守下列规定：</w:t>
      </w:r>
    </w:p>
    <w:p w14:paraId="41E55DE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（1）联合体各方应提交联合体协议，联合体协议应符合招标文件规定。</w:t>
      </w:r>
    </w:p>
    <w:p w14:paraId="6A6B52B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（2）联合体各方不得再单独参加或与其他供应商另外组成联合体参加同一合同项下的投标。</w:t>
      </w:r>
    </w:p>
    <w:p w14:paraId="2CDEE51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（3）联合体各方应共同与采购人签订政府采购合同，就政府采购合同约定的事项对采购人承担连带责任。</w:t>
      </w:r>
    </w:p>
    <w:p w14:paraId="62100C8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5DB37AF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（5）联合体一方放弃中标的，视为联合体整体放弃中标，联合体各方承担连带责任。</w:t>
      </w:r>
    </w:p>
    <w:p w14:paraId="4DB6784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（6）如本项目不接受联合体投标而投标人为联合体的，或者本项目接受联合体投标但投标人组成的联合体不符合本章第3.2条规定的，投标无效。</w:t>
      </w:r>
    </w:p>
    <w:p w14:paraId="0DEE685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4、投标费用</w:t>
      </w:r>
    </w:p>
    <w:p w14:paraId="5DF0D6A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4.1除招标文件另有规定外，投标人应自行承担其参加本项目投标所涉及的一切费用。</w:t>
      </w:r>
    </w:p>
    <w:p w14:paraId="7D6D397D">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三、招标</w:t>
      </w:r>
    </w:p>
    <w:p w14:paraId="58D96BA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5、招标文件</w:t>
      </w:r>
    </w:p>
    <w:p w14:paraId="2DF4092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5.1招标文件由下述部分组成：</w:t>
      </w:r>
    </w:p>
    <w:p w14:paraId="0CBF1FA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（1）投标邀请</w:t>
      </w:r>
    </w:p>
    <w:p w14:paraId="3DD9533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（2）投标人须知前附表（表1、2）</w:t>
      </w:r>
    </w:p>
    <w:p w14:paraId="04CC1AF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（3）投标人须知</w:t>
      </w:r>
    </w:p>
    <w:p w14:paraId="72A9AC9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（4）资格审查与评标</w:t>
      </w:r>
    </w:p>
    <w:p w14:paraId="20FF7B3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（5）招标内容及要求</w:t>
      </w:r>
    </w:p>
    <w:p w14:paraId="34CABD6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（6）政府采购合同（参考文本）</w:t>
      </w:r>
    </w:p>
    <w:p w14:paraId="78CE250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（7）电子投标文件格式</w:t>
      </w:r>
    </w:p>
    <w:p w14:paraId="6284C7F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（8）按照招标文件规定作为招标文件组成部分的其他内容（若有）</w:t>
      </w:r>
    </w:p>
    <w:p w14:paraId="731A103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5.2招标文件的澄清或修改</w:t>
      </w:r>
    </w:p>
    <w:p w14:paraId="0B50839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福建省闽咨造价咨询有限公司 可对已发出的招标文件进行必要的澄清或修改，但不得对招标文件载明的采购标的和投标人的资格要求进行改变。</w:t>
      </w:r>
    </w:p>
    <w:p w14:paraId="451F7FB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（2）除本章第5.2条第（3）款规定情形外，澄清或修改的内容可能影响电子投标文件编制的， 福建省闽咨造价咨询有限公司 将在投标截止时间至少15个日历日前，在招标文件载明的指定媒体以更正公告的形式发布澄清或修改的内容。不足15个日历日的， 福建省闽咨造价咨询有限公司 将顺延投标截止时间及开标时间， 福建省闽咨造价咨询有限公司 和投标人受原投标截止时间及开标时间制约的所有权利和义务均延长至新的投标截止时间及开标时间。</w:t>
      </w:r>
    </w:p>
    <w:p w14:paraId="66322F9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（3）澄清或修改的内容可能改变招标文件载明的采购标的和投标人的资格要求的，本次采购活动结束， 福建省闽咨造价咨询有限公司 将依法组织后续采购活动（包括但不限于：重新招标、采用其他方式采购等）。</w:t>
      </w:r>
    </w:p>
    <w:p w14:paraId="53087AB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6、现场考察或开标前答疑会</w:t>
      </w:r>
    </w:p>
    <w:p w14:paraId="6A91E3E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6.1是否组织现场考察或召开开标前答疑会：详见招标文件第二章。</w:t>
      </w:r>
    </w:p>
    <w:p w14:paraId="4079248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7、更正公告</w:t>
      </w:r>
    </w:p>
    <w:p w14:paraId="1B43366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7.1若 福建省闽咨造价咨询有限公司 发布更正公告，则更正公告及其所发布的内容或信息（包括但不限于：招标文件的澄清或修改、现场考察或答疑会的有关事宜等）作为招标文件组成部分，对投标人具有约束力。</w:t>
      </w:r>
    </w:p>
    <w:p w14:paraId="2950C8F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7.2更正公告作为 福建省闽咨造价咨询有限公司 通知所有潜在投标人的书面形式。</w:t>
      </w:r>
    </w:p>
    <w:p w14:paraId="0731B0D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8、终止公告</w:t>
      </w:r>
    </w:p>
    <w:p w14:paraId="38CA24C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8.1若出现因重大变故导致采购任务取消情形， 福建省闽咨造价咨询有限公司 可终止招标并发布终止公告。</w:t>
      </w:r>
    </w:p>
    <w:p w14:paraId="207A682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8.2终止公告作为 福建省闽咨造价咨询有限公司 通知所有潜在投标人的书面形式。</w:t>
      </w:r>
    </w:p>
    <w:p w14:paraId="52BE9D93">
      <w:pPr>
        <w:pStyle w:val="7"/>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四、投标</w:t>
      </w:r>
    </w:p>
    <w:p w14:paraId="6B3ED4E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9、投标</w:t>
      </w:r>
    </w:p>
    <w:p w14:paraId="7B5A77E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9.1投标人可对招标文件载明的全部或部分采购包进行投标。</w:t>
      </w:r>
    </w:p>
    <w:p w14:paraId="2735CC5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9.2投标人应对同一个采购包内的所有内容进行完整投标，否则投标无效。</w:t>
      </w:r>
    </w:p>
    <w:p w14:paraId="559D8C0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9.3投标人代表只能接受一个投标人的授权参加投标，否则投标无效。</w:t>
      </w:r>
    </w:p>
    <w:p w14:paraId="290CCDF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9.4单位负责人为同一人或存在直接控股、管理关系的不同供应商，不得同时参加同一合同项下的投标，否则投标无效。</w:t>
      </w:r>
    </w:p>
    <w:p w14:paraId="3D48116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9.5为本项目提供整体设计、规范编制或项目管理、监理、检测等服务的供应商，不得参加本项目除整体设计、规范编制和项目管理、监理、检测等服务外的采购活动，否则投标无效。</w:t>
      </w:r>
    </w:p>
    <w:p w14:paraId="2967226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9.6列入失信被执行人、重大税收违法案件当事人名单、政府采购严重违法失信行为记录名单及其他不符合政府采购法第二十二条规定条件的供应商，不得参加投标，否则投标无效。</w:t>
      </w:r>
    </w:p>
    <w:p w14:paraId="40AEA87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9.7有下列情形之一的，视为投标人串通投标，其投标无效：</w:t>
      </w:r>
    </w:p>
    <w:p w14:paraId="7BD5F6C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（1）不同投标人的电子投标文件由同一单位或个人编制；</w:t>
      </w:r>
    </w:p>
    <w:p w14:paraId="3EBA4AC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（2）不同投标人委托同一单位或个人办理投标事宜；</w:t>
      </w:r>
    </w:p>
    <w:p w14:paraId="0200794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（3）不同投标人的电子投标文件载明的项目管理成员或联系人员为同一人；</w:t>
      </w:r>
    </w:p>
    <w:p w14:paraId="3C01CF7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（4）不同投标人的电子投标文件异常一致或投标报价呈规律性差异；</w:t>
      </w:r>
    </w:p>
    <w:p w14:paraId="1B34007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（5）不同投标人的电子投标文件相互混装；</w:t>
      </w:r>
    </w:p>
    <w:p w14:paraId="4DE7FD4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（6）不同投标人的投标保证金从同一单位或个人的账户转出；</w:t>
      </w:r>
    </w:p>
    <w:p w14:paraId="75FE72D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（7）有关法律、法规和规章及招标文件规定的其他串通投标情形。</w:t>
      </w:r>
    </w:p>
    <w:p w14:paraId="3BA38A3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10、电子投标文件</w:t>
      </w:r>
    </w:p>
    <w:p w14:paraId="20FC900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10.1电子投标文件的编制</w:t>
      </w:r>
    </w:p>
    <w:p w14:paraId="11E90B2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（1）投标人应先仔细阅读招标文件的全部内容后，再进行电子投标文件的编制。</w:t>
      </w:r>
    </w:p>
    <w:p w14:paraId="38A98C1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（2）电子投标文件应按照本章第10.2条规定编制其组成部分。</w:t>
      </w:r>
    </w:p>
    <w:p w14:paraId="6BBEE3C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2CEA268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10.2电子投标文件由下述部分组成：</w:t>
      </w:r>
    </w:p>
    <w:p w14:paraId="74FB684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（1）资格及资信证明部分</w:t>
      </w:r>
    </w:p>
    <w:p w14:paraId="06DEEBA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①投标函</w:t>
      </w:r>
    </w:p>
    <w:p w14:paraId="44C1C50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②投标人的资格及资信证明文件</w:t>
      </w:r>
    </w:p>
    <w:p w14:paraId="51739ED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③投标保证金</w:t>
      </w:r>
    </w:p>
    <w:p w14:paraId="3FE60A5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（2）报价部分</w:t>
      </w:r>
    </w:p>
    <w:p w14:paraId="7CDA9F2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w:t>
      </w:r>
    </w:p>
    <w:p w14:paraId="644BAC5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②投标（响应）报价明细表</w:t>
      </w:r>
    </w:p>
    <w:p w14:paraId="688E021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③招标文件规定的价格扣除证明材料（若有）</w:t>
      </w:r>
    </w:p>
    <w:p w14:paraId="1D1C09E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④招标文件规定的加分证明材料（若有）</w:t>
      </w:r>
    </w:p>
    <w:p w14:paraId="546F8B4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（3）技术商务部分</w:t>
      </w:r>
    </w:p>
    <w:p w14:paraId="2C7E697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①标的说明一览表</w:t>
      </w:r>
    </w:p>
    <w:p w14:paraId="11783DD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②技术和服务要求响应表</w:t>
      </w:r>
    </w:p>
    <w:p w14:paraId="5E3EEB2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③商务条件响应表</w:t>
      </w:r>
    </w:p>
    <w:p w14:paraId="26B7327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④投标人提交的其他资料（若有）</w:t>
      </w:r>
    </w:p>
    <w:p w14:paraId="0C17A37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⑤招标文件规定作为电子投标文件组成部分的其他内容（若有）</w:t>
      </w:r>
    </w:p>
    <w:p w14:paraId="7C024F6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10.3电子投标文件的语言</w:t>
      </w:r>
    </w:p>
    <w:p w14:paraId="1607C27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（1）除招标文件另有规定外，电子投标文件应使用中文文本，若有不同文本，以中文文本为准。</w:t>
      </w:r>
    </w:p>
    <w:p w14:paraId="35B84EB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1ECE3C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10.4投标文件的份数：详见招标文件第二章。</w:t>
      </w:r>
    </w:p>
    <w:p w14:paraId="1C29629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10.5电子投标文件的格式</w:t>
      </w:r>
    </w:p>
    <w:p w14:paraId="2C01EE5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（1）除招标文件另有规定外，电子投标文件应使用招标文件第七章规定的格式。</w:t>
      </w:r>
    </w:p>
    <w:p w14:paraId="1B0C93D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（2）除招标文件另有规定外，电子投标文件应使用不能擦去的墨料或墨水打印、书写或复印。</w:t>
      </w:r>
    </w:p>
    <w:p w14:paraId="7418CB8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（3）除招标文件另有规定外，电子投标文件应使用人民币作为计量货币。</w:t>
      </w:r>
    </w:p>
    <w:p w14:paraId="1408706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（4）除招标文件另有规定外，签署、盖章应遵守下列规定：</w:t>
      </w:r>
    </w:p>
    <w:p w14:paraId="08A681A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①电子投标文件应加盖投标人的单位公章。若投标人代表为单位授权的委托代理人，应提供“单位授权书”。</w:t>
      </w:r>
    </w:p>
    <w:p w14:paraId="42E9A02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②电子投标文件应没有涂改或行间插字，除非这些改动是根据 福建省闽咨造价咨询有限公司 的指示进行的，或是为改正投标人造成的应修改的错误而进行的。若有前述改动，应按照下列规定之一对改动处进行处理：</w:t>
      </w:r>
    </w:p>
    <w:p w14:paraId="02C4FB3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a.投标人代表签字确认；</w:t>
      </w:r>
    </w:p>
    <w:p w14:paraId="30C2909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b.加盖投标人的单位公章或校正章。</w:t>
      </w:r>
    </w:p>
    <w:p w14:paraId="322AC61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10.6投标报价</w:t>
      </w:r>
    </w:p>
    <w:p w14:paraId="373BD56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（1）投标报价超出最高限价将导致投标无效。</w:t>
      </w:r>
    </w:p>
    <w:p w14:paraId="6363C3C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（2）最高限价由采购人根据价格测算情况，在预算金额的额度内合理设定。最高限价不得超出预算金额。</w:t>
      </w:r>
    </w:p>
    <w:p w14:paraId="6705521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（3）除招标文件另有规定外，电子投标文件不能出现任何选择性的投标报价，即每一个采购包和品目号的采购标的都只能有一个投标报价。任何选择性的投标报价将导致投标无效。</w:t>
      </w:r>
    </w:p>
    <w:p w14:paraId="2C935AD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10.7分包</w:t>
      </w:r>
    </w:p>
    <w:p w14:paraId="2F76532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（1）是否允许中标人将本项目的非主体、非关键性工作进行分包：详见招标文件第二章。</w:t>
      </w:r>
    </w:p>
    <w:p w14:paraId="3A49D60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7139E8C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（3）招标文件允许中标人将非主体、非关键性工作进行分包的项目，有下列情形之一的，中标人不得分包：</w:t>
      </w:r>
    </w:p>
    <w:p w14:paraId="47AF4B8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①电子投标文件中未载明分包承担主体；</w:t>
      </w:r>
    </w:p>
    <w:p w14:paraId="15E6468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②电子投标文件载明的分包承担主体不具备相应资质条件；</w:t>
      </w:r>
    </w:p>
    <w:p w14:paraId="1E364F6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③电子投标文件载明的分包承担主体拟再次分包；</w:t>
      </w:r>
    </w:p>
    <w:p w14:paraId="1F95986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④享受中小企业扶持政策获得政府采购合同的，小微企业不得将合同分包给大中型企业，中型企业不得将合同分包给大型企业。</w:t>
      </w:r>
    </w:p>
    <w:p w14:paraId="4EF9B25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10.8投标有效期</w:t>
      </w:r>
    </w:p>
    <w:p w14:paraId="1685776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（1）招标文件载明的投标有效期：详见招标文件第二章。</w:t>
      </w:r>
    </w:p>
    <w:p w14:paraId="1D60E65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（2）电子投标文件承诺的投标有效期不得少于招标文件载明的投标有效期，否则投标无效。</w:t>
      </w:r>
    </w:p>
    <w:p w14:paraId="44D413D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（3）根据本次采购活动的需要， 福建省闽咨造价咨询有限公司 可于投标有效期届满之前书面要求投标人延长投标有效期，投标人应在 福建省闽咨造价咨询有限公司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F4738C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10.9投标保证金</w:t>
      </w:r>
    </w:p>
    <w:p w14:paraId="10BA8D0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（1）投标保证金作为投标人按照招标文件规定履行相应投标责任、义务的约束及担保。</w:t>
      </w:r>
    </w:p>
    <w:p w14:paraId="2442634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（2）投标人以电子保函形式提交投标保证金的，保函的有效期应等于或长于电子投标文件承诺的投标有效期，否则投标无效。</w:t>
      </w:r>
    </w:p>
    <w:p w14:paraId="5A9CE46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（3）提交</w:t>
      </w:r>
    </w:p>
    <w:p w14:paraId="0989F83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5678968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B0FCB4B">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③其他形式：</w:t>
      </w:r>
    </w:p>
    <w:p w14:paraId="6B69935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07AFB73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④若本项目接受联合体投标且投标人为联合体，则联合体中的牵头方应按照本章第10.9条第（3）款第①、②、③点规定提交投标保证金。</w:t>
      </w:r>
    </w:p>
    <w:p w14:paraId="0171E3F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※除招标文件另有规定外，未按照上述规定提交投标保证金将导致资格审查不合格。</w:t>
      </w:r>
    </w:p>
    <w:p w14:paraId="12BFFFC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（4）退还</w:t>
      </w:r>
    </w:p>
    <w:p w14:paraId="2A8625A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①在投标截止时间前撤回已提交的电子投标文件的投标人，其投标保证金将在 福建省闽咨造价咨询有限公司 收到投标人书面撤回通知之日起5个工作日内退回原账户。</w:t>
      </w:r>
    </w:p>
    <w:p w14:paraId="546CF7F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②未中标人的投标保证金将在中标通知书发出之日起5个工作日内退回原账户。</w:t>
      </w:r>
    </w:p>
    <w:p w14:paraId="3CEA56A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③中标人的投标保证金将在政府采购合同签订之日起5个工作日内退回原账户；合同签订之日以福建省政府采购网上公开信息系统记载的为准。</w:t>
      </w:r>
    </w:p>
    <w:p w14:paraId="5588830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④终止招标的， 福建省闽咨造价咨询有限公司 将在终止公告发布之日起5个工作日内退回已收取的投标保证金及其在银行产生的孳息。</w:t>
      </w:r>
    </w:p>
    <w:p w14:paraId="1B2E047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⑤除招标文件另有规定外，质疑或投诉涉及的投标人，若投标保证金尚未退还，则待质疑或投诉处理完毕后不计利息原额退还。</w:t>
      </w:r>
    </w:p>
    <w:p w14:paraId="23D8152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※本章第10.9条第（4）款第①、②、③点规定的投标保证金退还时限不包括因投标人自身原因导致无法及时退还而增加的时间。</w:t>
      </w:r>
    </w:p>
    <w:p w14:paraId="25D87D4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D8F27A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（6）有下列情形之一的，投标保证金将不予退还或通过投标保函进行索赔：</w:t>
      </w:r>
    </w:p>
    <w:p w14:paraId="0E95710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①投标人串通投标；</w:t>
      </w:r>
    </w:p>
    <w:p w14:paraId="01F055B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②投标人提供虚假材料；</w:t>
      </w:r>
    </w:p>
    <w:p w14:paraId="4EF6E56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③投标人采取不正当手段诋毁、排挤其他投标人；</w:t>
      </w:r>
    </w:p>
    <w:p w14:paraId="1168054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④投标截止时间后，投标人在投标有效期内撤销电子投标文件；</w:t>
      </w:r>
    </w:p>
    <w:p w14:paraId="2F36334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⑤招标文件规定的其他不予退还情形；</w:t>
      </w:r>
    </w:p>
    <w:p w14:paraId="22376E8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⑥中标人有下列情形之一的：</w:t>
      </w:r>
    </w:p>
    <w:p w14:paraId="7047506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a.除不可抗力外，因中标人自身原因未在中标通知书要求的期限内与采购人签订政府采购合同；</w:t>
      </w:r>
    </w:p>
    <w:p w14:paraId="4F3DD71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b.未按照招标文件、投标文件的约定签订政府采购合同或提交履约保证金。</w:t>
      </w:r>
    </w:p>
    <w:p w14:paraId="444CC25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※若上述投标保证金不予退还情形给采购人（采购代理机构）造成损失，则投标人还要承担相应的赔偿责任。</w:t>
      </w:r>
    </w:p>
    <w:p w14:paraId="029A5C1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10.10电子投标文件的提交</w:t>
      </w:r>
    </w:p>
    <w:p w14:paraId="772048B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（1）一个投标人只能提交一个电子投标文件，并按照招标文件第一章规定在系统上完成上传、解密操作。</w:t>
      </w:r>
    </w:p>
    <w:p w14:paraId="2BC355E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10.11电子投标文件的补充、修改或撤回</w:t>
      </w:r>
    </w:p>
    <w:p w14:paraId="1E681FC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（1）投标截止时间前，投标人可对所提交的电子投标文件进行补充、修改或撤回，并书面通知 福建省闽咨造价咨询有限公司 。</w:t>
      </w:r>
    </w:p>
    <w:p w14:paraId="4CD7399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（2）补充、修改的内容应按照本章第10.5条第（4）款规定进行签署、盖章，并按照本章第10.10条规定提交，否则将被拒收。</w:t>
      </w:r>
    </w:p>
    <w:p w14:paraId="0441DE8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※按照上述规定提交的补充、修改内容作为电子投标文件组成部分。</w:t>
      </w:r>
    </w:p>
    <w:p w14:paraId="237F615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10.12除招标文件另有规定外，有下列情形之一的，投标无效：</w:t>
      </w:r>
    </w:p>
    <w:p w14:paraId="31B0CE3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（1）电子投标文件未按照招标文件要求签署、盖章；</w:t>
      </w:r>
    </w:p>
    <w:p w14:paraId="5B4F88C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（2）不符合招标文件中规定的资格要求；</w:t>
      </w:r>
    </w:p>
    <w:p w14:paraId="60FAAE5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（3）投标报价超过招标文件中规定的预算金额或最高限价；</w:t>
      </w:r>
    </w:p>
    <w:p w14:paraId="0817EA6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（4）电子投标文件含有采购人不能接受的附加条件；</w:t>
      </w:r>
    </w:p>
    <w:p w14:paraId="44C406D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（5）有关法律、法规和规章及招标文件规定的其他无效情形。</w:t>
      </w:r>
    </w:p>
    <w:p w14:paraId="727C9FF3">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五、开标</w:t>
      </w:r>
    </w:p>
    <w:p w14:paraId="4737072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11、开标</w:t>
      </w:r>
    </w:p>
    <w:p w14:paraId="2BE5CE5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 福建省闽咨造价咨询有限公司 将在招标文件载明的开标时间及地点主持召开开标会，并邀请投标人参加。</w:t>
      </w:r>
    </w:p>
    <w:p w14:paraId="2058989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11.2开标会的主持人、唱标人、记录人及其他工作人员（若有）均由 福建省闽咨造价咨询有限公司 派出，现场监督人员（若有）可由有关方面派出。</w:t>
      </w:r>
    </w:p>
    <w:p w14:paraId="44309ED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326391F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11.4开标会应遵守下列规定：</w:t>
      </w:r>
    </w:p>
    <w:p w14:paraId="3C40BD9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1B45874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60C31A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（3）唱标结束后，参加现场开标会的投标人代表应对开标记录进行签字确认，通过远程参与开标流程的投标人须在系统远程签章开启后，在系统规定时间内对开标结果进行签章确认。</w:t>
      </w:r>
    </w:p>
    <w:p w14:paraId="4436007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BD104C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（5）若投标人未到开标现场参加开标会，也未通过远程参加开标会的，视同认可开标结果。</w:t>
      </w:r>
    </w:p>
    <w:p w14:paraId="3F3C5B6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福建省闽咨造价咨询有限公司 提出任何疑义或要求（包括质疑）。</w:t>
      </w:r>
    </w:p>
    <w:p w14:paraId="45EA7EE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11.5投标截止时间后，参加投标的投标人不足三家的，不进行开标。同时，本次采购活动结束， 福建省闽咨造价咨询有限公司 将依法组织后续采购活动（包括但不限于：重新招标、采用其他方式采购等）。</w:t>
      </w:r>
    </w:p>
    <w:p w14:paraId="1B2CD29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11.6投标截止时间后撤销投标的处理</w:t>
      </w:r>
    </w:p>
    <w:p w14:paraId="02EFB36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投标截止时间后，投标人在投标有效期内撤销投标的，其撤销投标的行为无效。</w:t>
      </w:r>
    </w:p>
    <w:p w14:paraId="7030CBB7">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六、中标与政府采购合同</w:t>
      </w:r>
    </w:p>
    <w:p w14:paraId="4877871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12、中标</w:t>
      </w:r>
    </w:p>
    <w:p w14:paraId="4DB3252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12.1本项目推荐的中标候选人家数：详见招标文件第二章。</w:t>
      </w:r>
    </w:p>
    <w:p w14:paraId="10E1084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12.2本项目中标人的确定：详见招标文件第二章。</w:t>
      </w:r>
    </w:p>
    <w:p w14:paraId="3738E16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12.3中标公告</w:t>
      </w:r>
    </w:p>
    <w:p w14:paraId="0C78561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（1）中标人确定之日起2个工作日内， 福建省闽咨造价咨询有限公司 将在招标文件载明的指定媒体以中标公告的形式发布中标结果。</w:t>
      </w:r>
    </w:p>
    <w:p w14:paraId="67ACAC4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（2）中标公告的公告期限为1个工作日。</w:t>
      </w:r>
    </w:p>
    <w:p w14:paraId="47B02FE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12.4中标通知书</w:t>
      </w:r>
    </w:p>
    <w:p w14:paraId="38F0E27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（1）中标公告发布的同时， 福建省闽咨造价咨询有限公司 将向中标人发出中标通知书。</w:t>
      </w:r>
    </w:p>
    <w:p w14:paraId="106FC3A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（2）中标通知书发出后，采购人不得违法改变中标结果，中标人无正当理由不得放弃中标。</w:t>
      </w:r>
    </w:p>
    <w:p w14:paraId="04B4F0E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13、政府采购合同</w:t>
      </w:r>
    </w:p>
    <w:p w14:paraId="629B43F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1F99E7F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13.2签订时限：详见须知前附表1的13.2。</w:t>
      </w:r>
    </w:p>
    <w:p w14:paraId="1BF0452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13.3政府采购合同的履行、违约责任和解决争议的方法等适用民法典。</w:t>
      </w:r>
    </w:p>
    <w:p w14:paraId="3F6B0AE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13.4采购人与中标人应根据政府采购合同的约定依法履行合同义务。</w:t>
      </w:r>
    </w:p>
    <w:p w14:paraId="18F343B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13.5政府采购合同履行过程中，采购人若需追加与合同标的相同的货物或服务，则追加采购金额不得超过原合同采购金额的10%。</w:t>
      </w:r>
    </w:p>
    <w:p w14:paraId="721D4B7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13.6中标人在政府采购合同履行过程中应遵守有关法律、法规和规章的强制性规定（即使前述强制性规定有可能在招标文件中未予列明）。</w:t>
      </w:r>
    </w:p>
    <w:p w14:paraId="3AFDE187">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七、询问、质疑与投诉</w:t>
      </w:r>
    </w:p>
    <w:p w14:paraId="6AF78C3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14、询问</w:t>
      </w:r>
    </w:p>
    <w:p w14:paraId="322837B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14.1潜在投标人或投标人对本次采购活动的有关事项若有疑问，可向 福建省闽咨造价咨询有限公司 提出询问， 福建省闽咨造价咨询有限公司 将按照政府采购法及实施条例的有关规定进行答复。</w:t>
      </w:r>
    </w:p>
    <w:p w14:paraId="6867100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15、质疑</w:t>
      </w:r>
    </w:p>
    <w:p w14:paraId="4BE84A2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3B52235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（1）对招标文件提出质疑的，质疑人应为潜在投标人，且两者的身份、名称等均应保持一致。对采购过程、结果提出质疑的，质疑人应为投标人，且两者的身份、名称等均应保持一致。</w:t>
      </w:r>
    </w:p>
    <w:p w14:paraId="6E24FF7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（2）质疑人应按照招标文件第二章规定方式提交质疑函。</w:t>
      </w:r>
    </w:p>
    <w:p w14:paraId="25237A0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（3）质疑函应包括下列主要内容：</w:t>
      </w:r>
    </w:p>
    <w:p w14:paraId="3C790B0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①质疑人的基本信息，至少包括：全称、地址、邮政编码等；</w:t>
      </w:r>
    </w:p>
    <w:p w14:paraId="6988276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②所质疑项目的基本信息，至少包括：项目编号、项目名称等；</w:t>
      </w:r>
    </w:p>
    <w:p w14:paraId="090B9AC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③所质疑的具体事项（以下简称：“质疑事项”）；</w:t>
      </w:r>
    </w:p>
    <w:p w14:paraId="4C95350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④针对质疑事项提出的明确请求，前述明确请求指质疑人提出质疑的目的以及希望 福建省闽咨造价咨询有限公司 对其质疑作出的处理结果，如：暂停招标投标活动、修改招标文件、停止或纠正违法违规行为、中标结果无效、废标、重新招标等；</w:t>
      </w:r>
    </w:p>
    <w:p w14:paraId="45D7F18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⑤针对质疑事项导致质疑人自身权益受到损害的必要证明材料，至少包括：</w:t>
      </w:r>
    </w:p>
    <w:p w14:paraId="62161CC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a.质疑人代表的身份证明材料：</w:t>
      </w:r>
    </w:p>
    <w:p w14:paraId="56FE7AD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1CDB57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a2若本项目接受自然人投标且质疑人为自然人的，提供本人的身份证复印件。</w:t>
      </w:r>
    </w:p>
    <w:p w14:paraId="085B54B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b.其他证明材料（即事实依据和必要的法律依据）包括但不限于下列材料：</w:t>
      </w:r>
    </w:p>
    <w:p w14:paraId="2957F29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b1所质疑的具体事项是与自己有利害关系的证明材料；</w:t>
      </w:r>
    </w:p>
    <w:p w14:paraId="41F1451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b2质疑函所述事实存在的证明材料，如：采购文件、采购过程或中标结果违法违规或不符合采购文件要求等证明材料；</w:t>
      </w:r>
    </w:p>
    <w:p w14:paraId="5B248F0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b3依法应终止采购程序的证明材料；</w:t>
      </w:r>
    </w:p>
    <w:p w14:paraId="2CE29BF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b4应重新采购的证明材料；</w:t>
      </w:r>
    </w:p>
    <w:p w14:paraId="158961F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b5采购文件、采购过程或中标、成交结果损害自己合法权益的证明材料等；</w:t>
      </w:r>
    </w:p>
    <w:p w14:paraId="503C0E3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56C90D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⑥质疑人代表及其联系方法的信息，至少包括：姓名、手机、电子信箱、邮寄地址等。</w:t>
      </w:r>
    </w:p>
    <w:p w14:paraId="5B9F4B5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⑦提出质疑的日期。</w:t>
      </w:r>
    </w:p>
    <w:p w14:paraId="446658A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※质疑人为法人或其他组织的，质疑函应由单位负责人或委托代理人签字或盖章，并加盖投标人的单位公章。质疑人为自然人的，质疑函应由本人签字。</w:t>
      </w:r>
    </w:p>
    <w:p w14:paraId="10A22A3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15.2对不符合本章第15.1条规定的质疑，将按照下列规定进行处理：</w:t>
      </w:r>
    </w:p>
    <w:p w14:paraId="3E71AF8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（1）不符合其中第（1）、（2）条规定的，书面告知质疑人不予受理及其理由。</w:t>
      </w:r>
    </w:p>
    <w:p w14:paraId="5922251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（2）不符合其中第（3）条规定的，书面告知质疑人修改、补充后在规定时限内重新提交质疑函。</w:t>
      </w:r>
    </w:p>
    <w:p w14:paraId="0619665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15.3对符合本章第15.1条规定的质疑，将按照政府采购法及实施条例、政府采购质疑和投诉办法的有关规定进行答复。</w:t>
      </w:r>
    </w:p>
    <w:p w14:paraId="12E258E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15.4招标文件的质疑：详见招标文件第二章。</w:t>
      </w:r>
    </w:p>
    <w:p w14:paraId="7520B3F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16、投诉</w:t>
      </w:r>
    </w:p>
    <w:p w14:paraId="46BABBD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B6DE54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16.2投诉应有明确的请求和必要的证明材料，投诉的事项不得超出已质疑事项的范围。</w:t>
      </w:r>
    </w:p>
    <w:p w14:paraId="19F4FB71">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八、政府采购政策</w:t>
      </w:r>
    </w:p>
    <w:p w14:paraId="178540D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17、政府采购政策由财政部根据国家的经济和社会发展政策并会同国家有关部委制定，包括但不限于下列具体政策要求：</w:t>
      </w:r>
    </w:p>
    <w:p w14:paraId="19E0671F">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17.1本国产品与非本国产品相关约定</w:t>
      </w:r>
    </w:p>
    <w:p w14:paraId="5D55289B">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17.1.1本国产品</w:t>
      </w:r>
    </w:p>
    <w:p w14:paraId="48A6F165">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0CD9BA33">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6830884">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38F8154D">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E4E6BA5">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 非本国产品</w:t>
      </w:r>
    </w:p>
    <w:p w14:paraId="29A8FD70">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17.1.2.1 进口产品：指通过中国海关报关验放进入中国境内且产自关境外的产品，其中：</w:t>
      </w:r>
    </w:p>
    <w:p w14:paraId="246FC6B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0FD3DC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（2）凡在海关特殊监管区域内企业生产或加工（包括从境外进口料件）销往境内其他地区的产品，不作为政府采购项下进口产品。</w:t>
      </w:r>
    </w:p>
    <w:p w14:paraId="37D753E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（3）对从境外进入海关特殊监管区域，再经办理报关手续后从海关特殊监管区进入境内其他地区的产品，认定为进口产品。</w:t>
      </w:r>
    </w:p>
    <w:p w14:paraId="452710F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（4）招标文件列明不允许或未列明允许进口产品参加投标的，均视为拒绝进口产品参加投标。</w:t>
      </w:r>
    </w:p>
    <w:p w14:paraId="647DBAD8">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17.1.2.2 其它非本国产品：指非进口产品且不符合本国产品标准的产品。</w:t>
      </w:r>
    </w:p>
    <w:p w14:paraId="59C3D23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4FB6D69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DC2498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（1）中小企业指符合下列条件的中型、小型、微型企业：</w:t>
      </w:r>
    </w:p>
    <w:p w14:paraId="6C4A01E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C17914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②符合中小企业划分标准的个体工商户，在政府采购活动中视同中小企业。</w:t>
      </w:r>
    </w:p>
    <w:p w14:paraId="06CAAC2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（2）在政府采购活动中，供应商提供的货物、工程或者服务符合下列情形的，享受本办法规定的中小企业扶持政策：</w:t>
      </w:r>
    </w:p>
    <w:p w14:paraId="1B0084F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①在货物采购项目中，货物由中小企业制造，即货物由中小企业生产且使用该中小企业商号或者注册商标；</w:t>
      </w:r>
    </w:p>
    <w:p w14:paraId="246277B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②在工程采购项目中，工程由中小企业承建，即工程施工单位为中小企业；</w:t>
      </w:r>
    </w:p>
    <w:p w14:paraId="2EE0C7D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③在服务采购项目中，服务由中小企业承接，即提供服务的人员为中小企业依照《中华人民共和国劳动合同法》订立劳动合同的从业人员。</w:t>
      </w:r>
    </w:p>
    <w:p w14:paraId="6D12F8F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在货物采购项目中，供应商提供的货物既有中小企业制造货物，也有大型企业制造货物的，不享受本办法规定的中小企业扶持政策。</w:t>
      </w:r>
    </w:p>
    <w:p w14:paraId="4E84A62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以联合体形式参加政府采购活动，联合体各方均为中小企业的，联合体视同中小企业。其中，联合体各方均为小微企业的，联合体视同小微企业。</w:t>
      </w:r>
    </w:p>
    <w:p w14:paraId="1AF04F1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（3）投标人应当按照招标文件明确的采购标的对应行业的划分标准出具中小企业声明函。</w:t>
      </w:r>
    </w:p>
    <w:p w14:paraId="60C072E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3CCF132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3841B9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①监狱企业参加采购活动时，应提供由省级以上监狱管理局、戒毒管理局（含新疆生产建设兵团）出具的属于监狱企业的证明文件。</w:t>
      </w:r>
    </w:p>
    <w:p w14:paraId="766AF2C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②监狱企业视同小型、微型企业。</w:t>
      </w:r>
    </w:p>
    <w:p w14:paraId="0D25561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（5）残疾人福利性单位指同时符合下列条件的单位：</w:t>
      </w:r>
    </w:p>
    <w:p w14:paraId="61BDA7F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①安置的残疾人占本单位在职职工人数的比例不低于25%（含25%），并且安置的残疾人人数不少于10人（含10人）；</w:t>
      </w:r>
    </w:p>
    <w:p w14:paraId="0C31A1F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②依法与安置的每位残疾人签订了一年以上（含一年）的劳动合同或服务协议；</w:t>
      </w:r>
    </w:p>
    <w:p w14:paraId="03D492D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③为安置的每位残疾人按月足额缴纳了基本养老保险、基本医疗保险、失业保险、工伤保险和生育保险等社会保险费；</w:t>
      </w:r>
    </w:p>
    <w:p w14:paraId="7880B25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④通过银行等金融机构向安置的每位残疾人，按月支付了不低于单位所在区县适用的经省级人民政府批准的月最低工资标准的工资；</w:t>
      </w:r>
    </w:p>
    <w:p w14:paraId="020C85B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⑤提供本单位制造的货物、承担的工程或服务，或提供其他残疾人福利性单位制造的货物（不包括使用非残疾人福利性单位注册商标的货物）。</w:t>
      </w:r>
    </w:p>
    <w:p w14:paraId="3DDC7AE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23FADAE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4612544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17.4信用记录指由财政部确定的有关网站提供的相关主体信用信息。信用记录的查询及使用应符合财政部文件（财库[2016]125号）规定。</w:t>
      </w:r>
    </w:p>
    <w:p w14:paraId="1194D1A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17.5为落实政府采购政策需满足的要求：详见招标文件第一章。</w:t>
      </w:r>
    </w:p>
    <w:p w14:paraId="633981EA">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九、本项目的有关信息</w:t>
      </w:r>
    </w:p>
    <w:p w14:paraId="121AF34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18、本项目的有关信息，包括但不限于：招标公告、更正公告（若有）、招标文件、招标文件的澄清或修改（若有）、中标公告、终止公告（若有）、废标公告（若有）等都将在招标文件载明的指定媒体发布。</w:t>
      </w:r>
    </w:p>
    <w:p w14:paraId="0E18F90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18.1指定媒体：详见招标文件第二章。</w:t>
      </w:r>
    </w:p>
    <w:p w14:paraId="585B75D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18.2本项目的潜在投标人或投标人应随时关注指定媒体，否则产生不利后果由其自行承担。</w:t>
      </w:r>
    </w:p>
    <w:p w14:paraId="3909F7EE">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十、其他事项</w:t>
      </w:r>
    </w:p>
    <w:p w14:paraId="73AD061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19、其他事项：</w:t>
      </w:r>
    </w:p>
    <w:p w14:paraId="26F1927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577006F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19.2其他：详见招标文件第二章。</w:t>
      </w:r>
    </w:p>
    <w:p w14:paraId="646451D6">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rPr>
        <w:br w:type="page"/>
      </w:r>
    </w:p>
    <w:p w14:paraId="5F7A2A69">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第四章 资格审查与评标</w:t>
      </w:r>
    </w:p>
    <w:p w14:paraId="1EACF897">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一、资格审查</w:t>
      </w:r>
    </w:p>
    <w:p w14:paraId="6156F4E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1、开标结束后，由 福建省闽咨造价咨询有限公司 负责资格审查小组的组建及资格审查工作的组织。</w:t>
      </w:r>
    </w:p>
    <w:p w14:paraId="4021FD5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1.1资格审查小组</w:t>
      </w:r>
    </w:p>
    <w:p w14:paraId="57FEC74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小组由3人组成，并负责具体审查事务，其中由采购人派出的采购人代表至少1人，由福建省闽咨造价咨询有限公司派出的工作人员至少1人，其余1人可为采购人代表或福建省闽咨造价咨询有限公司的工作人员。</w:t>
      </w:r>
    </w:p>
    <w:p w14:paraId="4E4D546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1.2资格审查的依据是招标文件和电子投标文件。</w:t>
      </w:r>
    </w:p>
    <w:p w14:paraId="686EAD1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1.3资格审查的范围及内容：电子投标文件（资格及资信证明部分），具体如下：</w:t>
      </w:r>
    </w:p>
    <w:p w14:paraId="7D13165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（1）“投标函”；</w:t>
      </w:r>
    </w:p>
    <w:p w14:paraId="6914D1F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（2）“投标人的资格及资信证明文件”</w:t>
      </w:r>
    </w:p>
    <w:p w14:paraId="711AB6F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①一般资格证明文件：</w:t>
      </w:r>
    </w:p>
    <w:p w14:paraId="6B87C88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3"/>
        <w:gridCol w:w="1998"/>
        <w:gridCol w:w="6869"/>
      </w:tblGrid>
      <w:tr w14:paraId="42D6C5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A81795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序号</w:t>
            </w:r>
          </w:p>
        </w:tc>
        <w:tc>
          <w:tcPr>
            <w:tcW w:w="1014" w:type="pct"/>
          </w:tcPr>
          <w:p w14:paraId="11A1EF8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486" w:type="pct"/>
          </w:tcPr>
          <w:p w14:paraId="5AE9740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4CC81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605952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014" w:type="pct"/>
          </w:tcPr>
          <w:p w14:paraId="4F8D9CB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单位授权书</w:t>
            </w:r>
          </w:p>
        </w:tc>
        <w:tc>
          <w:tcPr>
            <w:tcW w:w="3486" w:type="pct"/>
          </w:tcPr>
          <w:p w14:paraId="10E78D8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B636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7946FBF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014" w:type="pct"/>
          </w:tcPr>
          <w:p w14:paraId="2430D16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营业执照等证明文件</w:t>
            </w:r>
          </w:p>
        </w:tc>
        <w:tc>
          <w:tcPr>
            <w:tcW w:w="3486" w:type="pct"/>
          </w:tcPr>
          <w:p w14:paraId="6D8EA8A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C4C92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6007FF8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14" w:type="pct"/>
          </w:tcPr>
          <w:p w14:paraId="1E5E9F5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提供财务状况报告(财务报告、或资信证明）</w:t>
            </w:r>
          </w:p>
        </w:tc>
        <w:tc>
          <w:tcPr>
            <w:tcW w:w="3486" w:type="pct"/>
          </w:tcPr>
          <w:p w14:paraId="5E322D2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245951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085B3BA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014" w:type="pct"/>
          </w:tcPr>
          <w:p w14:paraId="6D5E5A4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依法缴纳税收证明材料</w:t>
            </w:r>
          </w:p>
        </w:tc>
        <w:tc>
          <w:tcPr>
            <w:tcW w:w="3486" w:type="pct"/>
          </w:tcPr>
          <w:p w14:paraId="03BD23A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6ED2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0762CB7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014" w:type="pct"/>
          </w:tcPr>
          <w:p w14:paraId="489294C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依法缴纳社会保障资金证明材料</w:t>
            </w:r>
          </w:p>
        </w:tc>
        <w:tc>
          <w:tcPr>
            <w:tcW w:w="3486" w:type="pct"/>
          </w:tcPr>
          <w:p w14:paraId="34EEFE0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535CD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34DB2D5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014" w:type="pct"/>
          </w:tcPr>
          <w:p w14:paraId="0ABD736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具备履行合同所必需设备和专业技术能力的声明函(若有)</w:t>
            </w:r>
          </w:p>
        </w:tc>
        <w:tc>
          <w:tcPr>
            <w:tcW w:w="3486" w:type="pct"/>
          </w:tcPr>
          <w:p w14:paraId="1D04AE8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664C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7275650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014" w:type="pct"/>
          </w:tcPr>
          <w:p w14:paraId="32588EF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参加采购活动前三年内在经营活动中没有重大违法记录的声明</w:t>
            </w:r>
          </w:p>
        </w:tc>
        <w:tc>
          <w:tcPr>
            <w:tcW w:w="3486" w:type="pct"/>
          </w:tcPr>
          <w:p w14:paraId="75DD9C4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0AA7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3B60EA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1014" w:type="pct"/>
          </w:tcPr>
          <w:p w14:paraId="16F1082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信用记录查询结果</w:t>
            </w:r>
          </w:p>
        </w:tc>
        <w:tc>
          <w:tcPr>
            <w:tcW w:w="3486" w:type="pct"/>
          </w:tcPr>
          <w:p w14:paraId="170C104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65FCC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1C1BB9F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1014" w:type="pct"/>
          </w:tcPr>
          <w:p w14:paraId="111FAFE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中小企业声明函（以资格条件落实中小企业扶持政策时适用 ）</w:t>
            </w:r>
          </w:p>
        </w:tc>
        <w:tc>
          <w:tcPr>
            <w:tcW w:w="3486" w:type="pct"/>
          </w:tcPr>
          <w:p w14:paraId="603658A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67D1D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51BA99C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1014" w:type="pct"/>
          </w:tcPr>
          <w:p w14:paraId="5C8F7C9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联合体协议（若有）</w:t>
            </w:r>
          </w:p>
        </w:tc>
        <w:tc>
          <w:tcPr>
            <w:tcW w:w="3486" w:type="pct"/>
          </w:tcPr>
          <w:p w14:paraId="31DD31D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44B2941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※备注说明</w:t>
      </w:r>
    </w:p>
    <w:p w14:paraId="657A154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①投标人应根据自身实际情况提供上述资格要求的证明材料，格式可参考招标文件第七章提供。</w:t>
      </w:r>
    </w:p>
    <w:p w14:paraId="48035AB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②投标人提供的相应证明材料复印件均应符合：内容完整、清晰、整洁，并由投标人加盖其单位公章。</w:t>
      </w:r>
    </w:p>
    <w:p w14:paraId="666D3C53">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③根据招标文件第四章第一点资格审查的1.3“④其他资格证明文件”要求，允许供应商采用资格承诺制的并提供符合要求的资格承诺函，视为满足招标文件的资格要求。</w:t>
      </w:r>
    </w:p>
    <w:p w14:paraId="65B8D83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④.其他资格证明文件：</w:t>
      </w:r>
    </w:p>
    <w:p w14:paraId="5AEF050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44"/>
        <w:gridCol w:w="7306"/>
      </w:tblGrid>
      <w:tr w14:paraId="0F4C5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1" w:type="pct"/>
          </w:tcPr>
          <w:p w14:paraId="07547602">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708" w:type="pct"/>
          </w:tcPr>
          <w:p w14:paraId="13111FA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5131C6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1" w:type="pct"/>
          </w:tcPr>
          <w:p w14:paraId="2C017E0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3708" w:type="pct"/>
          </w:tcPr>
          <w:p w14:paraId="33C2082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790BD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1" w:type="pct"/>
          </w:tcPr>
          <w:p w14:paraId="5F95FFB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本采购包属于专门面向小微企业采购。</w:t>
            </w:r>
          </w:p>
        </w:tc>
        <w:tc>
          <w:tcPr>
            <w:tcW w:w="3708" w:type="pct"/>
          </w:tcPr>
          <w:p w14:paraId="397EB56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为专门面向小微企业采购的货物类采购项目，所属行业为工业。根据财库〔2020〕46号第四条“在政府采购活动中，供应商提供的货物、工程或者服务符合下列情形的，享受本办法规定的小微企业扶持政策： 在货物采购项目中，货物由小微企业制造，即货物由小微企业生产且使用该小微企业商号或者注册商标。”残疾人福利性单位、监狱企业视同小型、微型企业。所投产品属于小型、微型企业、残疾人福利性单位或监狱企业制造的，投标时必须根据采购文件格式提供《中小企业声明函》或《残疾人福利性单位声明函》或“省级以上监狱管理局、戒毒管理局（含新疆生产建设兵团）出具的属于监狱企业的证明文件”，否则不予认定。</w:t>
            </w:r>
          </w:p>
        </w:tc>
      </w:tr>
    </w:tbl>
    <w:p w14:paraId="58E8D76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（3）投标保证金。</w:t>
      </w:r>
    </w:p>
    <w:p w14:paraId="5DB12F6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1.4有下列情形之一的，资格审查不合格：</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54"/>
      </w:tblGrid>
      <w:tr w14:paraId="555002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FC6B77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5E7691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4F03D18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未按照招标文件规定提交投标函</w:t>
            </w:r>
          </w:p>
        </w:tc>
      </w:tr>
      <w:tr w14:paraId="0808B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B51CDC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未按照招标文件规定提交投标人的资格及资信文件</w:t>
            </w:r>
          </w:p>
        </w:tc>
      </w:tr>
      <w:tr w14:paraId="37B644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683273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未按照招标文件规定提交投标保证金</w:t>
            </w:r>
          </w:p>
        </w:tc>
      </w:tr>
    </w:tbl>
    <w:p w14:paraId="62CB977D">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2FE9DC2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资格审查不合格项：无</w:t>
      </w:r>
    </w:p>
    <w:p w14:paraId="3421F6C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1AEB82D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2、资格审查情况不得私自外泄，有关信息由 福建省闽咨造价咨询有限公司 统一对外发布。</w:t>
      </w:r>
    </w:p>
    <w:p w14:paraId="7C88297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3、资格审查合格的投标人不足三家的，不进行评标。同时，本次采购活动结束， 福建省闽咨造价咨询有限公司 将依法组织后续采购活动（包括但不限于：重新招标、采用其他方式采购等）。</w:t>
      </w:r>
    </w:p>
    <w:p w14:paraId="326418E9">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二、评标</w:t>
      </w:r>
    </w:p>
    <w:p w14:paraId="33B268B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4、资格审查结束后，由 福建省闽咨造价咨询有限公司 负责评标委员会的组建及评标工作的组织。</w:t>
      </w:r>
    </w:p>
    <w:p w14:paraId="0282C42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w:t>
      </w:r>
    </w:p>
    <w:p w14:paraId="626FA2E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由采购人代表和评审专家两部分共7人组成，其中由福建省政府采购评审专家库产生的评审专家6人，由采购人派出的采购人代表1人。</w:t>
      </w:r>
    </w:p>
    <w:p w14:paraId="5BD87AF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5.2评标委员会负责具体评标事务，并按照下列原则依法独立履行有关职责：</w:t>
      </w:r>
    </w:p>
    <w:p w14:paraId="4D89007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（1）评标应保护国家利益、社会公共利益和各方当事人合法权益，提高采购效益，保证项目质量。</w:t>
      </w:r>
    </w:p>
    <w:p w14:paraId="12C5A1C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（2）评标应遵循公平、公正、科学、严谨和择优原则。</w:t>
      </w:r>
    </w:p>
    <w:p w14:paraId="004E780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（3）评标的依据是招标文件和电子投标文件。</w:t>
      </w:r>
    </w:p>
    <w:p w14:paraId="11EC8FC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（4）应按照招标文件规定推荐中标候选人或确定中标人。</w:t>
      </w:r>
    </w:p>
    <w:p w14:paraId="202B59D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（5）评标应遵守下列评标纪律：</w:t>
      </w:r>
    </w:p>
    <w:p w14:paraId="18EE687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①评标情况不得私自外泄，有关信息由 福建省闽咨造价咨询有限公司 统一对外发布。</w:t>
      </w:r>
    </w:p>
    <w:p w14:paraId="6538836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 福建省闽咨造价咨询有限公司 或投标人提供的要求保密的资料，不得摘记翻印和外传。</w:t>
      </w:r>
    </w:p>
    <w:p w14:paraId="61E5889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③不得收受投标人或有关人员的任何礼物，不得串联鼓动其他人袒护某投标人。若与投标人存在利害关系，则应主动声明并回避。</w:t>
      </w:r>
    </w:p>
    <w:p w14:paraId="0343606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④全体评委应按照招标文件规定进行评标，一切认定事项应查有实据且不得弄虚作假。</w:t>
      </w:r>
    </w:p>
    <w:p w14:paraId="08F0B86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⑤评标中应充分发扬民主，推荐中标候选人或确定中标人后要服从评标报告。</w:t>
      </w:r>
    </w:p>
    <w:p w14:paraId="02899EF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※对违反评标纪律的评委，将取消其评委资格，对评标工作造成严重损失者将予以通报批评乃至追究法律责任。</w:t>
      </w:r>
    </w:p>
    <w:p w14:paraId="5ABDBFC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6、评标程序</w:t>
      </w:r>
    </w:p>
    <w:p w14:paraId="2AB0E1A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6.1评标前的准备工作</w:t>
      </w:r>
    </w:p>
    <w:p w14:paraId="6FF55B4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（1）全体评委应认真审阅招标文件，了解评委应履行或遵守的职责、义务和评标纪律。</w:t>
      </w:r>
    </w:p>
    <w:p w14:paraId="02F4D88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70D28F4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6.2符合性审查</w:t>
      </w:r>
    </w:p>
    <w:p w14:paraId="070E8F4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（1）评标委员会依据招标文件的实质性要求，对通过资格审查的电子投标文件进行符合性审查，以确定其是否满足招标文件的实质性要求。</w:t>
      </w:r>
    </w:p>
    <w:p w14:paraId="4DD9554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（2）满足招标文件的实质性要求指电子投标文件对招标文件实质性要求的响应不存在重大偏差或保留。</w:t>
      </w:r>
    </w:p>
    <w:p w14:paraId="3A73E96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B0F366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7653B95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（5）评标委员会对所有投标人都执行相同的程序和标准。</w:t>
      </w:r>
    </w:p>
    <w:p w14:paraId="2C354F5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（6）有下列情形之一的，符合性审查不合格：</w:t>
      </w:r>
    </w:p>
    <w:p w14:paraId="30F90A6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①项目一般情形：</w:t>
      </w:r>
    </w:p>
    <w:p w14:paraId="641380B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9"/>
        <w:gridCol w:w="2190"/>
        <w:gridCol w:w="6431"/>
      </w:tblGrid>
      <w:tr w14:paraId="60B646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01F4C70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序号</w:t>
            </w:r>
          </w:p>
        </w:tc>
        <w:tc>
          <w:tcPr>
            <w:tcW w:w="1111" w:type="pct"/>
          </w:tcPr>
          <w:p w14:paraId="1E7F0CF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符合审查要求概况</w:t>
            </w:r>
          </w:p>
        </w:tc>
        <w:tc>
          <w:tcPr>
            <w:tcW w:w="3263" w:type="pct"/>
          </w:tcPr>
          <w:p w14:paraId="587DF79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7D1705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14CC3C7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111" w:type="pct"/>
          </w:tcPr>
          <w:p w14:paraId="05288DB3">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情形1</w:t>
            </w:r>
          </w:p>
        </w:tc>
        <w:tc>
          <w:tcPr>
            <w:tcW w:w="3263" w:type="pct"/>
          </w:tcPr>
          <w:p w14:paraId="24BB55D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违反招标文件中载明“投标无效”条款的规定；</w:t>
            </w:r>
          </w:p>
        </w:tc>
      </w:tr>
      <w:tr w14:paraId="679577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37695A5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111" w:type="pct"/>
          </w:tcPr>
          <w:p w14:paraId="249D8C4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情形2</w:t>
            </w:r>
          </w:p>
        </w:tc>
        <w:tc>
          <w:tcPr>
            <w:tcW w:w="3263" w:type="pct"/>
          </w:tcPr>
          <w:p w14:paraId="34F87DB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属于招标文件第三章第10.12条规定的投标无效情形；</w:t>
            </w:r>
          </w:p>
        </w:tc>
      </w:tr>
      <w:tr w14:paraId="1D1AF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46FCFFD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111" w:type="pct"/>
          </w:tcPr>
          <w:p w14:paraId="4BF7FF0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情形3</w:t>
            </w:r>
          </w:p>
        </w:tc>
        <w:tc>
          <w:tcPr>
            <w:tcW w:w="3263" w:type="pct"/>
          </w:tcPr>
          <w:p w14:paraId="1E4355D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投标文件对招标文件实质性要求的响应存在重大偏离或保留。</w:t>
            </w:r>
          </w:p>
        </w:tc>
      </w:tr>
    </w:tbl>
    <w:p w14:paraId="0711C6A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②本项目规定的其他情形：</w:t>
      </w:r>
    </w:p>
    <w:p w14:paraId="7595010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1562B40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技术符合性</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66"/>
        <w:gridCol w:w="8488"/>
      </w:tblGrid>
      <w:tr w14:paraId="6C50E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3" w:type="pct"/>
          </w:tcPr>
          <w:p w14:paraId="6131922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情形</w:t>
            </w:r>
          </w:p>
        </w:tc>
        <w:tc>
          <w:tcPr>
            <w:tcW w:w="4306" w:type="pct"/>
          </w:tcPr>
          <w:p w14:paraId="579C40D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041097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3" w:type="pct"/>
          </w:tcPr>
          <w:p w14:paraId="5F96CB9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4306" w:type="pct"/>
          </w:tcPr>
          <w:p w14:paraId="79C5A36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技术部分中不得出现报价部分的全部或部分的投标报价信息（或组成资料），否则符合性审查不合格。（2）招标文件第五章“二、技术和服务要求”中标注★条款不满足招标文件要求的按无效标处理。（3）技术部分文件存在招标文件规定的其他无效标情形的，符合性审查不合格。</w:t>
            </w:r>
          </w:p>
        </w:tc>
      </w:tr>
    </w:tbl>
    <w:p w14:paraId="5523BEF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商务符合性</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42"/>
        <w:gridCol w:w="8512"/>
      </w:tblGrid>
      <w:tr w14:paraId="2E6849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1" w:type="pct"/>
          </w:tcPr>
          <w:p w14:paraId="60296A27">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情形</w:t>
            </w:r>
          </w:p>
        </w:tc>
        <w:tc>
          <w:tcPr>
            <w:tcW w:w="4318" w:type="pct"/>
          </w:tcPr>
          <w:p w14:paraId="76D74B5D">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0CFD9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1" w:type="pct"/>
          </w:tcPr>
          <w:p w14:paraId="5E27269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4318" w:type="pct"/>
          </w:tcPr>
          <w:p w14:paraId="280D633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招标文件第五章“三、商务要求”中内容出现负偏离的，按无效标处理，即“商务要求均为不允许负偏离的实质性要求”。（2）商务部分中不得出现报价部分的全部或部分的投标报价信息（或组成资料），否则符合性审查不合格。（3）商务部分文件存在招标文件规定的其他无效标情形的，符合性审查不合格。</w:t>
            </w:r>
          </w:p>
        </w:tc>
      </w:tr>
    </w:tbl>
    <w:p w14:paraId="2280631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价格符合性：无</w:t>
      </w:r>
    </w:p>
    <w:p w14:paraId="1C6BD07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6.3澄清有关问题</w:t>
      </w:r>
    </w:p>
    <w:p w14:paraId="2FE5975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（1）对通过符合性审查的电子投标文件中含义不明确、同类问题表述不一致或有明显文字和计算错误的内容，评标委员会将以书面形式要求投标人作出必要的澄清、说明或补正。</w:t>
      </w:r>
    </w:p>
    <w:p w14:paraId="04756E18">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75A17BA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（3）电子投标文件报价出现前后不一致的，除招标文件另有规定外，按照下列规定修正：</w:t>
      </w:r>
    </w:p>
    <w:p w14:paraId="42AB5F2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①开标（报价）一览表内容与电子投标文件中相应内容不一致的，以开标（报价）一览表为准；</w:t>
      </w:r>
    </w:p>
    <w:p w14:paraId="0B26D94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②大写金额和小写金额不一致的，以大写金额为准；</w:t>
      </w:r>
    </w:p>
    <w:p w14:paraId="6E8CB20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③单价金额小数点或百分比有明显错位的，以开标（报价）一览表的总价为准，并修改单价；</w:t>
      </w:r>
    </w:p>
    <w:p w14:paraId="06D251E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④总价金额与按照单价汇总金额不一致的，以单价金额计算结果为准。</w:t>
      </w:r>
    </w:p>
    <w:p w14:paraId="48D2E3D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※同时出现两种以上不一致的，按照前款规定的顺序修正。修正后的报价应按照本章第6.3条第（1）、（2）款规定经投标人确认后产生约束力，投标人不确认的，其投标无效。</w:t>
      </w:r>
    </w:p>
    <w:p w14:paraId="2FB62A9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（4）关于细微偏差</w:t>
      </w:r>
    </w:p>
    <w:p w14:paraId="6ADBBCB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247ABF1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②评标委员会将以书面形式要求存在细微偏差的投标人在评标委员会规定的时间内予以补正。若无法补正，则评标委员会将按照不利于投标人的内容进行认定。</w:t>
      </w:r>
    </w:p>
    <w:p w14:paraId="11D4861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（5）关于投标描述（即电子投标文件中描述的内容）</w:t>
      </w:r>
    </w:p>
    <w:p w14:paraId="354A1E4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①投标描述前后不一致且不涉及证明材料的：按照本章第6.3条第（1）、（2）款规定执行。</w:t>
      </w:r>
    </w:p>
    <w:p w14:paraId="385F6EA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②投标描述与证明材料不一致或多份证明材料之间不一致的：</w:t>
      </w:r>
    </w:p>
    <w:p w14:paraId="5C290D6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a.评标委员会将要求投标人进行书面澄清，并按照不利于投标人的内容进行评标。</w:t>
      </w:r>
    </w:p>
    <w:p w14:paraId="44F4F29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2299D47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17E55B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6.4比较与评价</w:t>
      </w:r>
    </w:p>
    <w:p w14:paraId="0450D23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（1）按照本章第7条载明的评标方法和标准，对符合性审查合格的电子投标文件进行比较与评价。</w:t>
      </w:r>
    </w:p>
    <w:p w14:paraId="0338866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（2）关于相同品牌产品（政府采购服务类项目不适用本条款规定）</w:t>
      </w:r>
    </w:p>
    <w:p w14:paraId="3347797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6D3D42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14:paraId="34BFA57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b.招标文件未规定的，采取随机抽取方式确定，其他投标无效。</w:t>
      </w:r>
    </w:p>
    <w:p w14:paraId="4B4C3BB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6F21EF0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14:paraId="1984F60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b.招标文件未规定的，采取随机抽取方式确定，其他同品牌投标人不作为中标候选人。</w:t>
      </w:r>
    </w:p>
    <w:p w14:paraId="6DF2E2F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③非单一产品采购项目，多家投标人提供的核心产品品牌相同的，按照本章第6.4条第（2）款第①、②规定处理。</w:t>
      </w:r>
    </w:p>
    <w:p w14:paraId="09C8E3D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（3）漏（缺）项</w:t>
      </w:r>
    </w:p>
    <w:p w14:paraId="4DEC947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①招标文件中要求列入报价的费用（含配置、功能），漏（缺）项的报价视为已经包括在投标总价中。</w:t>
      </w:r>
    </w:p>
    <w:p w14:paraId="0C16340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②对多报项及赠送项的价格评标时不予核减，全部进入评标价评议。</w:t>
      </w:r>
    </w:p>
    <w:p w14:paraId="16332BC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6.5推荐中标候选人：详见本章第7.2条规定。</w:t>
      </w:r>
    </w:p>
    <w:p w14:paraId="36DFEBD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6.6编写评标报告</w:t>
      </w:r>
    </w:p>
    <w:p w14:paraId="5CA2267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（1）评标报告由评标委员会负责编写。</w:t>
      </w:r>
    </w:p>
    <w:p w14:paraId="6C13A411">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（2）评标报告应包括下列内容：</w:t>
      </w:r>
    </w:p>
    <w:p w14:paraId="2267039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①招标公告刊登的媒体名称、开标日期和地点；</w:t>
      </w:r>
    </w:p>
    <w:p w14:paraId="3819185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②投标人名单和评标委员会成员名单；</w:t>
      </w:r>
    </w:p>
    <w:p w14:paraId="5E9BAD6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③评标方法和标准；</w:t>
      </w:r>
    </w:p>
    <w:p w14:paraId="5868EE9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④开标记录和评标情况及说明，包括无效投标人名单及原因；</w:t>
      </w:r>
    </w:p>
    <w:p w14:paraId="60C4897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⑤评标结果，包括中标候选人名单或确定的中标人；</w:t>
      </w:r>
    </w:p>
    <w:p w14:paraId="4EA981A2">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⑥其他需要说明的情况，包括但不限于：评标过程中投标人的澄清、说明或补正，评委更换等。</w:t>
      </w:r>
    </w:p>
    <w:p w14:paraId="3D7F605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999154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6.8评委对需要共同认定的事项存在争议的，应按照少数服从多数的原则进行认定。持不同意见的评委应在评标报告上签署不同意见及理由，否则视为同意评标报告。</w:t>
      </w:r>
    </w:p>
    <w:p w14:paraId="6765179D">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6.9在评标过程中发现投标人有下列情形之一的，评标委员会应认定其投标无效，并书面报告本项目监督管理部门：</w:t>
      </w:r>
    </w:p>
    <w:p w14:paraId="3995300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（1）恶意串通（包括但不限于招标文件第三章第9.7条规定情形）；</w:t>
      </w:r>
    </w:p>
    <w:p w14:paraId="71731CF4">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（2）妨碍其他投标人的竞争行为；</w:t>
      </w:r>
    </w:p>
    <w:p w14:paraId="598C3FBB">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（3）损害采购人或其他投标人的合法权益。</w:t>
      </w:r>
    </w:p>
    <w:p w14:paraId="02D95FCC">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6.10评标过程中，有下列情形之一的，应予废标：</w:t>
      </w:r>
    </w:p>
    <w:p w14:paraId="5C9DE99F">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（1）符合性审查合格的投标人不足三家的；</w:t>
      </w:r>
    </w:p>
    <w:p w14:paraId="00DC61F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（2）有关法律、法规和规章规定废标的情形。</w:t>
      </w:r>
    </w:p>
    <w:p w14:paraId="681FF30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※若废标，则本次采购活动结束， 福建省闽咨造价咨询有限公司 将依法组织后续采购活动（包括但不限于：重新招标、采用其他方式采购等）。</w:t>
      </w:r>
    </w:p>
    <w:p w14:paraId="6E7EF866">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7、评标方法和标准</w:t>
      </w:r>
    </w:p>
    <w:p w14:paraId="7FE9B7E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7.1评标方法：</w:t>
      </w:r>
    </w:p>
    <w:p w14:paraId="70534B6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14:paraId="1A3F6C7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7.2评标标准</w:t>
      </w:r>
    </w:p>
    <w:p w14:paraId="130B797E">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14:paraId="3123E74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（1）投标文件满足招标文件全部实质性要求，且按照评审因素的量化指标评审得分（即评标总得分）最高的投标人为中标候选人。</w:t>
      </w:r>
    </w:p>
    <w:p w14:paraId="1F486D2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0997A4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各项评审因素的设置如下：</w:t>
      </w:r>
    </w:p>
    <w:p w14:paraId="21F4A41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价格项（F1×A1）满分为30.0000分</w:t>
      </w:r>
    </w:p>
    <w:p w14:paraId="0137FC5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29A3B51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价格扣除的规则如下：</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8"/>
        <w:gridCol w:w="1968"/>
        <w:gridCol w:w="983"/>
        <w:gridCol w:w="4931"/>
      </w:tblGrid>
      <w:tr w14:paraId="02B4D9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99" w:type="pct"/>
          </w:tcPr>
          <w:p w14:paraId="1B0DC9B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99" w:type="pct"/>
          </w:tcPr>
          <w:p w14:paraId="1A672A2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适用对象</w:t>
            </w:r>
          </w:p>
        </w:tc>
        <w:tc>
          <w:tcPr>
            <w:tcW w:w="499" w:type="pct"/>
          </w:tcPr>
          <w:p w14:paraId="6F06C87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2500" w:type="pct"/>
          </w:tcPr>
          <w:p w14:paraId="058B43D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62D78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4"/>
          </w:tcPr>
          <w:p w14:paraId="63D8367D">
            <w:pPr>
              <w:pStyle w:val="7"/>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0E4ED4C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实施本国产品标准的价格扣除规则如下</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44"/>
        <w:gridCol w:w="1945"/>
        <w:gridCol w:w="1096"/>
        <w:gridCol w:w="4865"/>
      </w:tblGrid>
      <w:tr w14:paraId="1ACB5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2CC130A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87" w:type="pct"/>
          </w:tcPr>
          <w:p w14:paraId="30533FE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适用对象</w:t>
            </w:r>
          </w:p>
        </w:tc>
        <w:tc>
          <w:tcPr>
            <w:tcW w:w="556" w:type="pct"/>
          </w:tcPr>
          <w:p w14:paraId="69E99B3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2469" w:type="pct"/>
          </w:tcPr>
          <w:p w14:paraId="1B4C1E9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46DD49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25C769E1">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对本国产品的支持政策</w:t>
            </w:r>
          </w:p>
        </w:tc>
        <w:tc>
          <w:tcPr>
            <w:tcW w:w="987" w:type="pct"/>
          </w:tcPr>
          <w:p w14:paraId="71AE3B0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本国产品</w:t>
            </w:r>
          </w:p>
        </w:tc>
        <w:tc>
          <w:tcPr>
            <w:tcW w:w="556" w:type="pct"/>
          </w:tcPr>
          <w:p w14:paraId="14A98579">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20.00%</w:t>
            </w:r>
          </w:p>
        </w:tc>
        <w:tc>
          <w:tcPr>
            <w:tcW w:w="2469" w:type="pct"/>
          </w:tcPr>
          <w:p w14:paraId="4AF24EBF">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1F308D8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优先类节能产品、环境标志产品的价格扣除规则如下</w:t>
      </w: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62"/>
        <w:gridCol w:w="1230"/>
        <w:gridCol w:w="6160"/>
      </w:tblGrid>
      <w:tr w14:paraId="3EA3C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6EEDD8E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624" w:type="pct"/>
          </w:tcPr>
          <w:p w14:paraId="082BE53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3125" w:type="pct"/>
          </w:tcPr>
          <w:p w14:paraId="755DC6B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方法</w:t>
            </w:r>
          </w:p>
        </w:tc>
      </w:tr>
      <w:tr w14:paraId="4A3FB4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048AA73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节能、环境标志产品</w:t>
            </w:r>
          </w:p>
        </w:tc>
        <w:tc>
          <w:tcPr>
            <w:tcW w:w="624" w:type="pct"/>
          </w:tcPr>
          <w:p w14:paraId="63FDEE3B">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10.00%</w:t>
            </w:r>
          </w:p>
        </w:tc>
        <w:tc>
          <w:tcPr>
            <w:tcW w:w="3125" w:type="pct"/>
          </w:tcPr>
          <w:p w14:paraId="31E63240">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774ABF3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其他：无</w:t>
      </w:r>
    </w:p>
    <w:p w14:paraId="255375C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技术项（F2×A2）满分为60.0000分</w:t>
      </w:r>
    </w:p>
    <w:tbl>
      <w:tblPr>
        <w:tblStyle w:val="5"/>
        <w:tblW w:w="499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4"/>
        <w:gridCol w:w="912"/>
        <w:gridCol w:w="959"/>
        <w:gridCol w:w="6007"/>
      </w:tblGrid>
      <w:tr w14:paraId="71CAC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8" w:type="pct"/>
          </w:tcPr>
          <w:p w14:paraId="119ADD5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463" w:type="pct"/>
          </w:tcPr>
          <w:p w14:paraId="65D43B0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87" w:type="pct"/>
          </w:tcPr>
          <w:p w14:paraId="02A85DD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3051" w:type="pct"/>
          </w:tcPr>
          <w:p w14:paraId="7CED2E1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7BC60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8" w:type="pct"/>
          </w:tcPr>
          <w:p w14:paraId="1DED94F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1、技术性能和功能1</w:t>
            </w:r>
          </w:p>
        </w:tc>
        <w:tc>
          <w:tcPr>
            <w:tcW w:w="463" w:type="pct"/>
          </w:tcPr>
          <w:p w14:paraId="189C3A24">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20.40</w:t>
            </w:r>
          </w:p>
        </w:tc>
        <w:tc>
          <w:tcPr>
            <w:tcW w:w="487" w:type="pct"/>
          </w:tcPr>
          <w:p w14:paraId="5F8F913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051" w:type="pct"/>
          </w:tcPr>
          <w:p w14:paraId="6812834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招标文件“第五章招标内容及要求二、技术和服务要求”中本采购包各项技术参数的逐项响应情况由评委进行评分。完全满足要求的得满分20.40分；其中带“★”标识的技术指标项（共计12项）为实质性要求，若出现任意一项负偏离按无效投标处理；带“▲”标识的技术指标项（共计10项），每负偏离一项扣2.04分，正偏离不加分，扣完为止。注：招标文件中技术参数若有要求投标人提供相应佐证材料的，若未提供或响应承诺与其佐证材料不一致的，评审小组将以不利于投标人的内容为准进行评审。</w:t>
            </w:r>
          </w:p>
        </w:tc>
      </w:tr>
      <w:tr w14:paraId="4208B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8" w:type="pct"/>
          </w:tcPr>
          <w:p w14:paraId="4D7CD68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2、技术性能和功能2</w:t>
            </w:r>
          </w:p>
        </w:tc>
        <w:tc>
          <w:tcPr>
            <w:tcW w:w="463" w:type="pct"/>
          </w:tcPr>
          <w:p w14:paraId="5BCB5D31">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39.60</w:t>
            </w:r>
          </w:p>
        </w:tc>
        <w:tc>
          <w:tcPr>
            <w:tcW w:w="487" w:type="pct"/>
          </w:tcPr>
          <w:p w14:paraId="1CCA27D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051" w:type="pct"/>
          </w:tcPr>
          <w:p w14:paraId="61A336E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招标文件“第五章招标内容及要求二、技术和服务要求”中本采购包各项技术参数的逐项响应情况由评委进行评分。完全满足要求的得满分39.60分；其余未带“★、▲”标识的技术指标项（共计66项），每负偏离一项扣0.6分，正偏离不加分，扣完为止。注：招标文件中技术参数若有要求投标人提供相应佐证材料的，若未提供或响应承诺与其佐证材料不一致的，评审小组将以不利于投标人的内容为准进行评审。</w:t>
            </w:r>
          </w:p>
        </w:tc>
      </w:tr>
    </w:tbl>
    <w:p w14:paraId="7D6C0E7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商务项（F3×A3）满分为10.0000分</w:t>
      </w:r>
    </w:p>
    <w:tbl>
      <w:tblPr>
        <w:tblStyle w:val="5"/>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52"/>
        <w:gridCol w:w="936"/>
        <w:gridCol w:w="957"/>
        <w:gridCol w:w="5999"/>
      </w:tblGrid>
      <w:tr w14:paraId="15EE0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1" w:type="pct"/>
          </w:tcPr>
          <w:p w14:paraId="72365E0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475" w:type="pct"/>
          </w:tcPr>
          <w:p w14:paraId="19A0013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86" w:type="pct"/>
          </w:tcPr>
          <w:p w14:paraId="373A67E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3045" w:type="pct"/>
          </w:tcPr>
          <w:p w14:paraId="1639D37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79918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1" w:type="pct"/>
          </w:tcPr>
          <w:p w14:paraId="73C75E3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1、相关业绩</w:t>
            </w:r>
          </w:p>
        </w:tc>
        <w:tc>
          <w:tcPr>
            <w:tcW w:w="475" w:type="pct"/>
          </w:tcPr>
          <w:p w14:paraId="7A14202D">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w:t>
            </w:r>
          </w:p>
        </w:tc>
        <w:tc>
          <w:tcPr>
            <w:tcW w:w="486" w:type="pct"/>
          </w:tcPr>
          <w:p w14:paraId="71DEDF9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045" w:type="pct"/>
          </w:tcPr>
          <w:p w14:paraId="7BE90A55">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根据投标人提供2023年1月1日至本项目截标时间止（日期以合同签订时间为准）完成且经验收合格的投标人的同类设备业绩，每个项目得1分，满分3分 （投标人应在投标文件中提供中标公告[提供相关网站中标公告的下载网页并注明网址] 、中标通知书、采购合同、项目已经采购人验收合格的相关证明文件，每个业绩均需完整提供上述证明材料的复印件；未完整提供上述证明材料复印件者不得分）。</w:t>
            </w:r>
          </w:p>
        </w:tc>
      </w:tr>
      <w:tr w14:paraId="3926E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1" w:type="pct"/>
          </w:tcPr>
          <w:p w14:paraId="4C36EAE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2、保修期</w:t>
            </w:r>
          </w:p>
        </w:tc>
        <w:tc>
          <w:tcPr>
            <w:tcW w:w="475" w:type="pct"/>
          </w:tcPr>
          <w:p w14:paraId="7BCA02F3">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w:t>
            </w:r>
          </w:p>
        </w:tc>
        <w:tc>
          <w:tcPr>
            <w:tcW w:w="486" w:type="pct"/>
          </w:tcPr>
          <w:p w14:paraId="34F7B6B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045" w:type="pct"/>
          </w:tcPr>
          <w:p w14:paraId="405B8076">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根据投标人对投标货物保修期的承诺情况由评委进行评分：在招标文件要求的基础（2年）上延长一年（只针对整个采购包所有设备的保修期延长）得3分，满分3分。未延长的不得分。</w:t>
            </w:r>
          </w:p>
        </w:tc>
      </w:tr>
      <w:tr w14:paraId="1D2AB3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1" w:type="pct"/>
          </w:tcPr>
          <w:p w14:paraId="2792AB0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3、售后服务情况</w:t>
            </w:r>
          </w:p>
        </w:tc>
        <w:tc>
          <w:tcPr>
            <w:tcW w:w="475" w:type="pct"/>
          </w:tcPr>
          <w:p w14:paraId="094EF15C">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486" w:type="pct"/>
          </w:tcPr>
          <w:p w14:paraId="71B69E8B">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c>
          <w:tcPr>
            <w:tcW w:w="3045" w:type="pct"/>
          </w:tcPr>
          <w:p w14:paraId="63FCA3FE">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的售后服务响应方案（包括但不限于：具体的售后服务内容、售后服务机构设置的便捷性、故障响应方式、时间，承诺维修人员到达现场时间等方面）由评标委员会进行评分：方案包含的要点齐全无缺漏项、内容与要点相符、每个要点均有展开详细的阐述、整体思路结构清晰、逻辑性强，内容描述科学合理，细节考虑周全且能够适用于本项目的得2分；方案所包含的 要点齐全、内容与要点相符、每个要点均有展开阐述但不具体、整体思路结构较清晰、逻辑性较强，内容描述较科学合理，细节考虑较周全且基本能够适用于本项目的得1.5分；方案所包含的要点齐全、内容与要点相符但仅有纲要、内容简略，未展开详细阐述但基本能够适用于本项目的得1分；未提供本项不得分。</w:t>
            </w:r>
          </w:p>
        </w:tc>
      </w:tr>
      <w:tr w14:paraId="6AC644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1" w:type="pct"/>
          </w:tcPr>
          <w:p w14:paraId="2163EF3A">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4、技术培训方案</w:t>
            </w:r>
          </w:p>
        </w:tc>
        <w:tc>
          <w:tcPr>
            <w:tcW w:w="475" w:type="pct"/>
          </w:tcPr>
          <w:p w14:paraId="776FE399">
            <w:pPr>
              <w:pStyle w:val="7"/>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486" w:type="pct"/>
          </w:tcPr>
          <w:p w14:paraId="3C3DFD0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c>
          <w:tcPr>
            <w:tcW w:w="3045" w:type="pct"/>
          </w:tcPr>
          <w:p w14:paraId="49CAD309">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的培训方案（包括但不限于：培训时间、地点、培训的主要内容（至少包含日常操作、保养和维修）、培训讲师的资历、培训课时安排、预期培训效果）由评标委员会进行评分：方案包含的要点齐全无缺漏项、内容与要点相符、每个要点均有展开详细的阐述、整体思路结构清晰、逻辑性强，内容描述科学合理，细节考虑周全且能够适用于本项目的得2分；方案所包含的 要点齐全、内容与要点相符、每个要点均有展开阐述但不具体、整体思路结构较清晰、逻辑性较强，内容描述较科学合理，细节考虑较周全且基本能够适用于本项目的得1.5分；方案所包含的要点齐全、内容与要点相符但仅有纲要、内容简略，未展开详细阐述但基本能够适用于本项目的得1分；未提供本项不得分。</w:t>
            </w:r>
          </w:p>
        </w:tc>
      </w:tr>
    </w:tbl>
    <w:p w14:paraId="4A69033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25"/>
        <w:gridCol w:w="8129"/>
      </w:tblGrid>
      <w:tr w14:paraId="23F4DB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75" w:type="pct"/>
          </w:tcPr>
          <w:p w14:paraId="5453E74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4124" w:type="pct"/>
          </w:tcPr>
          <w:p w14:paraId="2ED4173B">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41538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75" w:type="pct"/>
          </w:tcPr>
          <w:p w14:paraId="5E1ED5F4">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c>
        <w:tc>
          <w:tcPr>
            <w:tcW w:w="4124" w:type="pct"/>
          </w:tcPr>
          <w:p w14:paraId="1B8552C8">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根据《关于推动解决政府采购异常低价问题的通知》（财库〔2026〕2号）等相关规定，政府采购评审中出现下列情形之一的，评审委员会应当启动异常低价投标（响应）审查程序： （1）电感耦合等离子体发射光谱仪、电感耦合等离子体质谱仪响应报价低于全部通过符合性审查供应商响应报价平均值50%的，即电感耦合等离子体发射光谱仪、电感耦合等离子体质谱仪响应报价&lt;全部通过符合性审查供应商响应报价平均值×50%。 （2）电感耦合等离子体发射光谱仪、电感耦合等离子体质谱仪响应报价低于通过符合性审查且报价次低供应商响应报价50%的，即电感耦合等离子体发射光谱仪、电感耦合等离子体质谱仪响应报价&lt;通过符合性审查且报价次低供应商响应报价×50%。 （3）电感耦合等离子体发射光谱仪、电感耦合等离子体质谱仪响应报价低于最高限价45%的，即电感耦合等离子体发射光谱仪、电感耦合等离子体质谱仪响应报价&lt;最高限价×45%。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5FC75DF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D2CC5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130F44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D64ED7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异常低价投标（响应）审查的启动原因、审查意见和审查结果应当在评审报告中记录，并随供应商提供的相关书面说明及证明材料，以及评审委员会有关互联网浏览、查询历史一并归档。</w:t>
      </w:r>
    </w:p>
    <w:p w14:paraId="52738C7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※除本章第6.3条第（3）款规定情形和落实政府采购政策需进行的价格扣除情形外，不能对投标人的投标报价进行任何调整。</w:t>
      </w:r>
    </w:p>
    <w:p w14:paraId="3D107D5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（3）中标候选人排列规则顺序如下：</w:t>
      </w:r>
    </w:p>
    <w:p w14:paraId="4C48781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a.按照评标总得分（FA）由高到低顺序排列。</w:t>
      </w:r>
    </w:p>
    <w:p w14:paraId="02D3ED9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b.评标总得分（FA）相同的，按照评标价（即价格扣除后的投标报价）由低到高顺序排列。</w:t>
      </w:r>
    </w:p>
    <w:p w14:paraId="16BD98B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c.评标总得分（FA）且评标价（即价格扣除后的投标报价）相同的并列。</w:t>
      </w:r>
    </w:p>
    <w:p w14:paraId="0E64FD09">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8、其他规定</w:t>
      </w:r>
    </w:p>
    <w:p w14:paraId="22CC626A">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8.1评标应全程保密且不得透露给任一投标人或与评标工作无关的人员。</w:t>
      </w:r>
    </w:p>
    <w:p w14:paraId="41DB71B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8.2评标将进行全程实时录音录像，录音录像资料随采购文件一并存档。</w:t>
      </w:r>
    </w:p>
    <w:p w14:paraId="2198A9C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2B976F00">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8.4其他：</w:t>
      </w:r>
    </w:p>
    <w:p w14:paraId="700F235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8.4.1根据《国务院办公厅关于在政府采购中实施本国产品标准及相关政策的通知》（国办发〔2025〕34号）、关于贯彻落实《国务院办公厅关于在政府采购中实施本国产品标准及相关政策的通知》的意见（财库〔2025〕30号）文件通知，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 8.4.2供应商提供的产品符合本国产品标准的，应在投标文件报价部分中对其提供的产品出具《关于符合本国产品标准的声明函》（格式见附件，以下简称《声明函》）或财政部会同有关部门规定的有关证明文件。供应商出具符合要求的《声明函》或上述证明文件的，该产品视为本国产品。 8.4.3当采购项目或者采购包中含有多种产品，供应商为该采购项目或者采购包提供的符合本国产品标准的产品成本之和占该供应商提供的全部产品成本之和的比例达到80%以上时，供应商除需按照第2条规定提供《关于符合本国产品标准的声明函》外，还需提供《关于符合本国产品标准的成本占比的承诺函》（样式见附件），否则不给予价格扣除。 8.4.4供应商提供虚假《声明函》、虚假证明文件谋取中标、成交的，依照《中华人民共和国政府采购法》等法律法规规定追究相应责任。供应商未提供《声明函》的，不享受本国产品价格评审扣除优惠。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49087F86">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42E1D93">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第五章 招标内容及要求</w:t>
      </w:r>
    </w:p>
    <w:p w14:paraId="4632D3AC">
      <w:pPr>
        <w:pStyle w:val="7"/>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一、项目概况（采购标的）</w:t>
      </w:r>
    </w:p>
    <w:p w14:paraId="4E491EDB">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1.本次招标为福建省纤维检验中心2026年重点工业产品检验检测设备更新项目-第二批（二次）。</w:t>
      </w:r>
    </w:p>
    <w:p w14:paraId="1873C54C">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2.投标人应按采购包投标，对同一采购包内所有品目号内容投标时必须完整。评审与授标以采购包为单位。</w:t>
      </w:r>
    </w:p>
    <w:p w14:paraId="6941AA57">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3、报价要求</w:t>
      </w:r>
    </w:p>
    <w:p w14:paraId="43FF699B">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 投标人的报价应为货物送达采购人指定地点，经采购人验收合格并交付使用后所有可能发生的费用。包括（但不限于）制造、包装、运输、保险、装卸及包装物处置费、安装（包含但不限于安装过程中产生的机械或人工吊装搬运或因交货中可能要拆除采购人装修及后续恢复费用）、施工（包含设备端的供电布线、接地、惰性气路管路铺设检漏、冷却水、废液管路、废气排风接驳、配套支架辅材等施工内容）、调试、计量检测（若有）、税费、进口代理费及杂费（若有）、验收、售后服务、质量保修期内的设备维护费等费用、本项目招标采购的代理服务费等费用。还要考虑到合同中可能出现的索赔和变更，并以此报价作为投标报价。</w:t>
      </w:r>
    </w:p>
    <w:p w14:paraId="3B48106B">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3.2 投标统一以人民币报价及结算。</w:t>
      </w:r>
    </w:p>
    <w:p w14:paraId="672583E8">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4.本项目核心产品为：电感耦合等离子体质谱仪。</w:t>
      </w:r>
    </w:p>
    <w:p w14:paraId="6400AA6E">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注：若提供相同品牌产品的不同投标人参加同一合同项下投标的，按招标文件相关规定执行。凡是列入核心产品范围的，其中任一产品出现相同品牌的，均被认定为一家投标人来计算。</w:t>
      </w:r>
    </w:p>
    <w:p w14:paraId="692034FA">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5.本项目技术、商务、价格总得分保留两位数。</w:t>
      </w:r>
    </w:p>
    <w:p w14:paraId="2375726E">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注：以上“项目概况”项下为告知性内容，投标人无须响应但必须遵循，请各投标人务必仔细阅读。</w:t>
      </w:r>
    </w:p>
    <w:p w14:paraId="053DE1A7">
      <w:pPr>
        <w:pStyle w:val="7"/>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二、技术和服务要求（以“★”标示的内容为不允许负偏离的实质性要求）</w:t>
      </w:r>
    </w:p>
    <w:p w14:paraId="04C73E6E">
      <w:pPr>
        <w:pStyle w:val="7"/>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rPr>
        <w:t>采购包1</w:t>
      </w:r>
    </w:p>
    <w:p w14:paraId="30B903D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1-1</w:t>
      </w:r>
    </w:p>
    <w:p w14:paraId="3D19564B">
      <w:pPr>
        <w:pStyle w:val="7"/>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电感耦合等离子体发射光谱仪</w:t>
      </w:r>
    </w:p>
    <w:p w14:paraId="7F86DBB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 仪器总体要求：</w:t>
      </w:r>
    </w:p>
    <w:p w14:paraId="5E83089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该光谱仪是全谱直读型电感耦合等离子体发射光谱仪。仪器必须包括高频发生器、等离子体及进样系统、分光系统、检测器、分析软件和计算机系统，全自动气路控制。仪器适用于对各类样品中主量、微量及痕量元素的定性、半定量和定量分析。</w:t>
      </w:r>
      <w:r>
        <w:rPr>
          <w:rFonts w:hint="eastAsia" w:asciiTheme="minorEastAsia" w:hAnsiTheme="minorEastAsia" w:eastAsiaTheme="minorEastAsia" w:cstheme="minorEastAsia"/>
          <w:b/>
          <w:sz w:val="24"/>
        </w:rPr>
        <w:t>（评审项1）</w:t>
      </w:r>
    </w:p>
    <w:p w14:paraId="07EC519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2进样系统</w:t>
      </w:r>
    </w:p>
    <w:p w14:paraId="32E0746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2.1中心管：陶瓷（或其他耐氢氟酸材料）2.0mm中心管。</w:t>
      </w:r>
      <w:r>
        <w:rPr>
          <w:rFonts w:hint="eastAsia" w:asciiTheme="minorEastAsia" w:hAnsiTheme="minorEastAsia" w:eastAsiaTheme="minorEastAsia" w:cstheme="minorEastAsia"/>
          <w:b/>
          <w:sz w:val="24"/>
        </w:rPr>
        <w:t>（评审项2）</w:t>
      </w:r>
    </w:p>
    <w:p w14:paraId="19AD3D3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2.2雾化器：石英高效同心雾化器。</w:t>
      </w:r>
      <w:r>
        <w:rPr>
          <w:rFonts w:hint="eastAsia" w:asciiTheme="minorEastAsia" w:hAnsiTheme="minorEastAsia" w:eastAsiaTheme="minorEastAsia" w:cstheme="minorEastAsia"/>
          <w:b/>
          <w:sz w:val="24"/>
        </w:rPr>
        <w:t>（评审项3）</w:t>
      </w:r>
    </w:p>
    <w:p w14:paraId="2580ED1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2.3雾化室：旋流雾化室。</w:t>
      </w:r>
      <w:r>
        <w:rPr>
          <w:rFonts w:hint="eastAsia" w:asciiTheme="minorEastAsia" w:hAnsiTheme="minorEastAsia" w:eastAsiaTheme="minorEastAsia" w:cstheme="minorEastAsia"/>
          <w:b/>
          <w:sz w:val="24"/>
        </w:rPr>
        <w:t>（评审项4）</w:t>
      </w:r>
    </w:p>
    <w:p w14:paraId="3AB9CB8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▲2.4蠕动泵：≥4通道系统，≥12滚轮高精度系统，泵速连续自动可调。蠕动泵具有智能快速冲洗功能，随时监测特定的谱线，直至其强度降低到设定值后才开始分析下一个样品。</w:t>
      </w:r>
    </w:p>
    <w:p w14:paraId="444A989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2.5具有雾化器压力提示功能，随时监控雾化器是否堵塞。</w:t>
      </w:r>
      <w:r>
        <w:rPr>
          <w:rFonts w:hint="eastAsia" w:asciiTheme="minorEastAsia" w:hAnsiTheme="minorEastAsia" w:eastAsiaTheme="minorEastAsia" w:cstheme="minorEastAsia"/>
          <w:b/>
          <w:sz w:val="24"/>
        </w:rPr>
        <w:t>（提供软件截屏作为证明资料。）</w:t>
      </w:r>
    </w:p>
    <w:p w14:paraId="0D971F4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（评审项5）</w:t>
      </w:r>
    </w:p>
    <w:p w14:paraId="045FAB6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2.6耐酸，耐碱，耐高盐三合一进样系统（使用耐受）：可以耐受 50% (v/v) HCl、HNO3、H2SO4、H3PO4；20% (v/v) HF；30% (w/v)NaOH以及30%的高盐样品。</w:t>
      </w:r>
      <w:r>
        <w:rPr>
          <w:rFonts w:hint="eastAsia" w:asciiTheme="minorEastAsia" w:hAnsiTheme="minorEastAsia" w:eastAsiaTheme="minorEastAsia" w:cstheme="minorEastAsia"/>
          <w:b/>
          <w:sz w:val="24"/>
        </w:rPr>
        <w:t>（评审项6）</w:t>
      </w:r>
    </w:p>
    <w:p w14:paraId="297470C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★2.7耐酸，耐碱，耐高盐三合一进样系统，分析1ppm的锰标准溶液，Mn 257nm谱线的强度大于500万cps（或cts）。</w:t>
      </w:r>
    </w:p>
    <w:p w14:paraId="52F07D0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★2.8高灵敏度进样系统，分析1ppm的锰标准溶液，Mn 257nm谱线的强度大于1000万cps（或cts）。</w:t>
      </w:r>
    </w:p>
    <w:p w14:paraId="2E8F2A4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3气路系统：</w:t>
      </w:r>
    </w:p>
    <w:p w14:paraId="7E23DC7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★3.1气路系统全部具有流量计自动控制系统</w:t>
      </w:r>
    </w:p>
    <w:p w14:paraId="01CD8C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3.2等离子气流量：范围8－20L/min或更优，精度≤1 L/min，连续可调。</w:t>
      </w:r>
      <w:r>
        <w:rPr>
          <w:rFonts w:hint="eastAsia" w:asciiTheme="minorEastAsia" w:hAnsiTheme="minorEastAsia" w:eastAsiaTheme="minorEastAsia" w:cstheme="minorEastAsia"/>
          <w:b/>
          <w:sz w:val="24"/>
        </w:rPr>
        <w:t>（评审项7）</w:t>
      </w:r>
    </w:p>
    <w:p w14:paraId="225FC35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3.3辅助气流量：范围0－2.0L/min或更优，精度≤0.1 L/min，连续可调。</w:t>
      </w:r>
      <w:r>
        <w:rPr>
          <w:rFonts w:hint="eastAsia" w:asciiTheme="minorEastAsia" w:hAnsiTheme="minorEastAsia" w:eastAsiaTheme="minorEastAsia" w:cstheme="minorEastAsia"/>
          <w:b/>
          <w:sz w:val="24"/>
        </w:rPr>
        <w:t>（评审项8）</w:t>
      </w:r>
    </w:p>
    <w:p w14:paraId="14959A5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3.4雾化气流量：范围0－2.00L/min或更优，精度≤0.01 L/min，连续可调。</w:t>
      </w:r>
      <w:r>
        <w:rPr>
          <w:rFonts w:hint="eastAsia" w:asciiTheme="minorEastAsia" w:hAnsiTheme="minorEastAsia" w:eastAsiaTheme="minorEastAsia" w:cstheme="minorEastAsia"/>
          <w:b/>
          <w:sz w:val="24"/>
        </w:rPr>
        <w:t>（评审项9）</w:t>
      </w:r>
    </w:p>
    <w:p w14:paraId="0CFD6C1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3.5深紫外区吹扫气：具体高速吹扫和低速吹扫多档可选。</w:t>
      </w:r>
      <w:r>
        <w:rPr>
          <w:rFonts w:hint="eastAsia" w:asciiTheme="minorEastAsia" w:hAnsiTheme="minorEastAsia" w:eastAsiaTheme="minorEastAsia" w:cstheme="minorEastAsia"/>
          <w:b/>
          <w:sz w:val="24"/>
        </w:rPr>
        <w:t>（评审项10）</w:t>
      </w:r>
    </w:p>
    <w:p w14:paraId="695926A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3.6额外辅助气：支持有机加氧气等。</w:t>
      </w:r>
      <w:r>
        <w:rPr>
          <w:rFonts w:hint="eastAsia" w:asciiTheme="minorEastAsia" w:hAnsiTheme="minorEastAsia" w:eastAsiaTheme="minorEastAsia" w:cstheme="minorEastAsia"/>
          <w:b/>
          <w:sz w:val="24"/>
        </w:rPr>
        <w:t>（评审项11）</w:t>
      </w:r>
    </w:p>
    <w:p w14:paraId="25566F5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4等离子体</w:t>
      </w:r>
    </w:p>
    <w:p w14:paraId="55D3B95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4.1频率：≥40MHz。</w:t>
      </w:r>
      <w:r>
        <w:rPr>
          <w:rFonts w:hint="eastAsia" w:asciiTheme="minorEastAsia" w:hAnsiTheme="minorEastAsia" w:eastAsiaTheme="minorEastAsia" w:cstheme="minorEastAsia"/>
          <w:b/>
          <w:sz w:val="24"/>
        </w:rPr>
        <w:t>（评审项12）</w:t>
      </w:r>
    </w:p>
    <w:p w14:paraId="735EA64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4.2射频发生器：自激式固态发生器，水冷，直接耦合、自动调谐，变频，无匹配箱设计。</w:t>
      </w:r>
      <w:r>
        <w:rPr>
          <w:rFonts w:hint="eastAsia" w:asciiTheme="minorEastAsia" w:hAnsiTheme="minorEastAsia" w:eastAsiaTheme="minorEastAsia" w:cstheme="minorEastAsia"/>
          <w:b/>
          <w:sz w:val="24"/>
        </w:rPr>
        <w:t>（评审项13）</w:t>
      </w:r>
    </w:p>
    <w:p w14:paraId="2AA2F31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★4.3最大功率（双向观测）：≥1500W，控制精度≤1W，连续可调。</w:t>
      </w:r>
      <w:r>
        <w:rPr>
          <w:rFonts w:hint="eastAsia" w:asciiTheme="minorEastAsia" w:hAnsiTheme="minorEastAsia" w:eastAsiaTheme="minorEastAsia" w:cstheme="minorEastAsia"/>
          <w:b/>
          <w:sz w:val="24"/>
        </w:rPr>
        <w:t>（提供软件截屏作为证明资料。）</w:t>
      </w:r>
    </w:p>
    <w:p w14:paraId="24A349A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▲4.4等离子体观察方式：垂直等离体，轴向、轴向衰减和径向、径向衰减四种，在一次分析中可以采用轴向、轴向衰减和径向、径向衰减四种观测方式，并同时给出四种观测方式的测量结果。</w:t>
      </w:r>
    </w:p>
    <w:p w14:paraId="60594A5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4.5观测高度调节：6-18mm之间可调，精度≤1mm连续可调。</w:t>
      </w:r>
      <w:r>
        <w:rPr>
          <w:rFonts w:hint="eastAsia" w:asciiTheme="minorEastAsia" w:hAnsiTheme="minorEastAsia" w:eastAsiaTheme="minorEastAsia" w:cstheme="minorEastAsia"/>
          <w:b/>
          <w:sz w:val="24"/>
        </w:rPr>
        <w:t>（评审项14）</w:t>
      </w:r>
    </w:p>
    <w:p w14:paraId="4108093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▲4.6等离子体可视系统：操作者在仪器的控制软件中可以实时全彩色看到等离子体的运行图形，并观察炬管、炬管中心管是否变脏需要清洗。</w:t>
      </w:r>
    </w:p>
    <w:p w14:paraId="064CB25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5光学系统</w:t>
      </w:r>
    </w:p>
    <w:p w14:paraId="5786DDC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5.1单色器：中阶梯光栅，石英棱镜二维色散系统，高能量。</w:t>
      </w:r>
      <w:r>
        <w:rPr>
          <w:rFonts w:hint="eastAsia" w:asciiTheme="minorEastAsia" w:hAnsiTheme="minorEastAsia" w:eastAsiaTheme="minorEastAsia" w:cstheme="minorEastAsia"/>
          <w:b/>
          <w:sz w:val="24"/>
        </w:rPr>
        <w:t>（评审项15）</w:t>
      </w:r>
    </w:p>
    <w:p w14:paraId="735D6A3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5.2光室：带精密恒温光室或动态波长稳定校正功能光室。仪器冷开机时间≤30分钟。包括仪器主机、气体、冷却循环水等冷启动，到仪器点炬时间。</w:t>
      </w:r>
      <w:r>
        <w:rPr>
          <w:rFonts w:hint="eastAsia" w:asciiTheme="minorEastAsia" w:hAnsiTheme="minorEastAsia" w:eastAsiaTheme="minorEastAsia" w:cstheme="minorEastAsia"/>
          <w:b/>
          <w:sz w:val="24"/>
        </w:rPr>
        <w:t>（评审项16）</w:t>
      </w:r>
    </w:p>
    <w:p w14:paraId="1C918B4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★5.3波长范围：165-900nm或更宽。能测试Cs894.347、Cl894.800nm；</w:t>
      </w:r>
      <w:r>
        <w:rPr>
          <w:rFonts w:hint="eastAsia" w:asciiTheme="minorEastAsia" w:hAnsiTheme="minorEastAsia" w:eastAsiaTheme="minorEastAsia" w:cstheme="minorEastAsia"/>
          <w:b/>
          <w:sz w:val="24"/>
        </w:rPr>
        <w:t>（提供光谱图及标准曲线作为证明资料。）</w:t>
      </w:r>
    </w:p>
    <w:p w14:paraId="5664E43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5.4光学分辨率：≤0.007nm在200nm处，像素分辨率≤0.003nm在200nm处。</w:t>
      </w:r>
      <w:r>
        <w:rPr>
          <w:rFonts w:hint="eastAsia" w:asciiTheme="minorEastAsia" w:hAnsiTheme="minorEastAsia" w:eastAsiaTheme="minorEastAsia" w:cstheme="minorEastAsia"/>
          <w:b/>
          <w:sz w:val="24"/>
        </w:rPr>
        <w:t>（评审项17）</w:t>
      </w:r>
    </w:p>
    <w:p w14:paraId="1898A87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6检测器</w:t>
      </w:r>
    </w:p>
    <w:p w14:paraId="498CF28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6.1带高效半导体制冷的CID或CCD固体检测器，在光谱仪波长范围内具有连续像素，能任意选择波长，且具有天然的防溢出功能设计，非破坏性读取。</w:t>
      </w:r>
      <w:r>
        <w:rPr>
          <w:rFonts w:hint="eastAsia" w:asciiTheme="minorEastAsia" w:hAnsiTheme="minorEastAsia" w:eastAsiaTheme="minorEastAsia" w:cstheme="minorEastAsia"/>
          <w:b/>
          <w:sz w:val="24"/>
        </w:rPr>
        <w:t>（评审项18）</w:t>
      </w:r>
    </w:p>
    <w:p w14:paraId="7475E54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6.2冷却系统：高效半导体制冷。</w:t>
      </w:r>
      <w:r>
        <w:rPr>
          <w:rFonts w:hint="eastAsia" w:asciiTheme="minorEastAsia" w:hAnsiTheme="minorEastAsia" w:eastAsiaTheme="minorEastAsia" w:cstheme="minorEastAsia"/>
          <w:b/>
          <w:sz w:val="24"/>
        </w:rPr>
        <w:t>（评审项19）</w:t>
      </w:r>
    </w:p>
    <w:p w14:paraId="710D04D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▲6.3最小积分时间：检测器可对每条谱线进行单独积分和读数，读数积分范围0.001秒-20秒连续可调,彻底解决信号饱和溢出问题，最短积分(曝光)时间为0.001秒；</w:t>
      </w:r>
      <w:r>
        <w:rPr>
          <w:rFonts w:hint="eastAsia" w:asciiTheme="minorEastAsia" w:hAnsiTheme="minorEastAsia" w:eastAsiaTheme="minorEastAsia" w:cstheme="minorEastAsia"/>
          <w:b/>
          <w:sz w:val="24"/>
        </w:rPr>
        <w:t>（对同一个样品进行10元素测试，要求各元素的曝光时间都不同，提供软件分析结果截图作为证明材料）</w:t>
      </w:r>
    </w:p>
    <w:p w14:paraId="31A34B5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7分析软件</w:t>
      </w:r>
      <w:r>
        <w:rPr>
          <w:rFonts w:hint="eastAsia" w:asciiTheme="minorEastAsia" w:hAnsiTheme="minorEastAsia" w:eastAsiaTheme="minorEastAsia" w:cstheme="minorEastAsia"/>
          <w:b/>
          <w:sz w:val="24"/>
        </w:rPr>
        <w:t>（评审项20）</w:t>
      </w:r>
    </w:p>
    <w:p w14:paraId="641D6CF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7.1软件为多任务操作，即在分析样品的同时，能同时进行数据处理。控制软件可以在Win 10下运行，可以脱离仪器安装在其它计算机上进行模拟运行（模拟等离子体点火、熄火、样品分析），同时模拟软件具有数据处理功能，以便于教学、演示和培训。</w:t>
      </w:r>
    </w:p>
    <w:p w14:paraId="554B26E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7.2具有元素间干扰校正技术、谱线拟合干扰校正技术、单边实时背景扣除、双边实时背景扣除、无背景扣除功能等5种干扰校正技术。</w:t>
      </w:r>
    </w:p>
    <w:p w14:paraId="725C1ED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7.3具有自带≥5万条以上谱线的谱线库。</w:t>
      </w:r>
    </w:p>
    <w:p w14:paraId="7382BB7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7.4具有多元素谱图同时显示功能，至少能同时显示10个元素以上。</w:t>
      </w:r>
    </w:p>
    <w:p w14:paraId="76C844F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7.5具有谱图叠加功能显示每个像素点，同一个元素不同样品可以同时显示。</w:t>
      </w:r>
    </w:p>
    <w:p w14:paraId="224E9F7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7.6具有测量结果的交叉表报告功能，每一行显示不同的样品，每一列显示不同的元素或谱线，显示内容至少包括强度和浓度两种方式。</w:t>
      </w:r>
    </w:p>
    <w:p w14:paraId="612408D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8具备数据对接接口，要求能与LIMS进行直接对接，所有样品信息直接有LIMS下发至工作站软件中，通过自动序列输入，确保结果在LIMS中可靠地分配到正确的样品。数据处理完成之后，LIMS可以通过接口获取到对应的结果信息和报告文件，无需通过LIMS再做报告解析。</w:t>
      </w:r>
      <w:r>
        <w:rPr>
          <w:rFonts w:hint="eastAsia" w:asciiTheme="minorEastAsia" w:hAnsiTheme="minorEastAsia" w:eastAsiaTheme="minorEastAsia" w:cstheme="minorEastAsia"/>
          <w:b/>
          <w:sz w:val="24"/>
        </w:rPr>
        <w:t>（评审项21）</w:t>
      </w:r>
    </w:p>
    <w:p w14:paraId="7D9CBAE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9分析性能</w:t>
      </w:r>
    </w:p>
    <w:p w14:paraId="3EE2094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9.1等离子体气（Plasma gas）流量 ≤ 10 L/min。</w:t>
      </w:r>
      <w:r>
        <w:rPr>
          <w:rFonts w:hint="eastAsia" w:asciiTheme="minorEastAsia" w:hAnsiTheme="minorEastAsia" w:eastAsiaTheme="minorEastAsia" w:cstheme="minorEastAsia"/>
          <w:b/>
          <w:sz w:val="24"/>
        </w:rPr>
        <w:t>（评审项22）</w:t>
      </w:r>
    </w:p>
    <w:p w14:paraId="29A3724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9.2 测定谱线的线性动态范围：≥106（以Mn257.6nm 来测定，相关系数≥0.9996）。</w:t>
      </w:r>
      <w:r>
        <w:rPr>
          <w:rFonts w:hint="eastAsia" w:asciiTheme="minorEastAsia" w:hAnsiTheme="minorEastAsia" w:eastAsiaTheme="minorEastAsia" w:cstheme="minorEastAsia"/>
          <w:b/>
          <w:sz w:val="24"/>
        </w:rPr>
        <w:t>（评审项23）</w:t>
      </w:r>
    </w:p>
    <w:p w14:paraId="79A5258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9.3精密度：测定1ppm或10ppm多元素混合标准溶液，重复测定十次的RSD≤0.5%。</w:t>
      </w:r>
      <w:r>
        <w:rPr>
          <w:rFonts w:hint="eastAsia" w:asciiTheme="minorEastAsia" w:hAnsiTheme="minorEastAsia" w:eastAsiaTheme="minorEastAsia" w:cstheme="minorEastAsia"/>
          <w:b/>
          <w:sz w:val="24"/>
        </w:rPr>
        <w:t>（评审项24）</w:t>
      </w:r>
    </w:p>
    <w:p w14:paraId="64FD841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9.4稳定性：测定1ppm或10ppm多元素混合标准溶液，连续测定2小时的长时间稳定性RSD＜1.0%。</w:t>
      </w:r>
      <w:r>
        <w:rPr>
          <w:rFonts w:hint="eastAsia" w:asciiTheme="minorEastAsia" w:hAnsiTheme="minorEastAsia" w:eastAsiaTheme="minorEastAsia" w:cstheme="minorEastAsia"/>
          <w:b/>
          <w:sz w:val="24"/>
        </w:rPr>
        <w:t>（评审项25）</w:t>
      </w:r>
    </w:p>
    <w:p w14:paraId="6F8D245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9.5灵敏度（1ppm标准溶液单位浓度测量时仪器给出的谱线积分强度cps或cts）</w:t>
      </w:r>
      <w:r>
        <w:rPr>
          <w:rFonts w:hint="eastAsia" w:asciiTheme="minorEastAsia" w:hAnsiTheme="minorEastAsia" w:eastAsiaTheme="minorEastAsia" w:cstheme="minorEastAsia"/>
          <w:b/>
          <w:sz w:val="24"/>
        </w:rPr>
        <w:t>（评审项26）</w:t>
      </w:r>
    </w:p>
    <w:p w14:paraId="39CD068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P 178.221＞0.2万</w:t>
      </w:r>
    </w:p>
    <w:p w14:paraId="029A4B5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S 181.975＞0.3万</w:t>
      </w:r>
    </w:p>
    <w:p w14:paraId="2556E6F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As 188.979＞1.0万</w:t>
      </w:r>
    </w:p>
    <w:p w14:paraId="35D5F58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Pb 220.353＞3.0万</w:t>
      </w:r>
    </w:p>
    <w:p w14:paraId="532DBA8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Zn 206.197＞5.0万</w:t>
      </w:r>
    </w:p>
    <w:p w14:paraId="068DD50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Fe 238.204＞200万</w:t>
      </w:r>
    </w:p>
    <w:p w14:paraId="69F21BB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Mn 257.610＞500万</w:t>
      </w:r>
    </w:p>
    <w:p w14:paraId="3F43187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9.6检出限（积分时间1秒，以10次空白溶液测量的3σ强度所对应的浓度计算检出限）</w:t>
      </w:r>
      <w:r>
        <w:rPr>
          <w:rFonts w:hint="eastAsia" w:asciiTheme="minorEastAsia" w:hAnsiTheme="minorEastAsia" w:eastAsiaTheme="minorEastAsia" w:cstheme="minorEastAsia"/>
          <w:b/>
          <w:sz w:val="24"/>
        </w:rPr>
        <w:t>（评审项27）</w:t>
      </w:r>
    </w:p>
    <w:p w14:paraId="3DD6413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P 178.221 ≤3.0 µg/L</w:t>
      </w:r>
    </w:p>
    <w:p w14:paraId="4E487B5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S 181.975 ≤5.0 µg/L</w:t>
      </w:r>
    </w:p>
    <w:p w14:paraId="4D045D9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As 188.979 ≤2.0 µg/L</w:t>
      </w:r>
    </w:p>
    <w:p w14:paraId="3B511A7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Pb 220.353 ≤1.0 µg/L</w:t>
      </w:r>
    </w:p>
    <w:p w14:paraId="34B29F7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Zn 206.197 ≤0.2 µg/L</w:t>
      </w:r>
    </w:p>
    <w:p w14:paraId="47EDBFD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Fe 238.204 ≤0.1 µg/L</w:t>
      </w:r>
    </w:p>
    <w:p w14:paraId="6A0C818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Mn 257.610 ≤0.1 µg/L</w:t>
      </w:r>
    </w:p>
    <w:p w14:paraId="2B396BF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★9.7配制2ppb、4ppb、6ppb、8ppb、10ppb的Cd、Pb的标准溶液，要求不使用软件拟合条件下线性相关系数达到0.999以上；</w:t>
      </w:r>
    </w:p>
    <w:p w14:paraId="6C3AAF7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★10整体配置要求</w:t>
      </w:r>
    </w:p>
    <w:p w14:paraId="7096261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10.1具备以上技术规格与要求的等离子体发射光谱仪主机1套（主机含以下配置）。</w:t>
      </w:r>
    </w:p>
    <w:p w14:paraId="3FE5051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10.2双向观测外光路一套，在一次分析中可以同时进行轴向观测和径向观测，并同时给出测量结果。</w:t>
      </w:r>
    </w:p>
    <w:p w14:paraId="16C55C4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10.3 双向观测等离子体尾焰切割装置1套。</w:t>
      </w:r>
    </w:p>
    <w:p w14:paraId="4EEAAAF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10.4自激式固态射频发生器1套。</w:t>
      </w:r>
    </w:p>
    <w:p w14:paraId="1F6FAAF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10.5 节约氩气消耗，只需9L/min氩气流量即可运行等离子体的平板1套。</w:t>
      </w:r>
    </w:p>
    <w:p w14:paraId="522D165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10.6 中阶梯分光系统1套。</w:t>
      </w:r>
    </w:p>
    <w:p w14:paraId="58E556B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10.7 双固态检测器1套。</w:t>
      </w:r>
    </w:p>
    <w:p w14:paraId="37C4495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10.8 三棱镜分光系统1套。</w:t>
      </w:r>
    </w:p>
    <w:p w14:paraId="179AB35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10.9 无需预热，开机即用；参比氖灯谱线分析一套。</w:t>
      </w:r>
    </w:p>
    <w:p w14:paraId="5D563B5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10.10 高精密度雾化器氩气流量控制质量流量计一套，流量控制调节步长0.01L/min。</w:t>
      </w:r>
    </w:p>
    <w:p w14:paraId="5221BD9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10.11内置式水平4通道12滚轮蠕动泵一套。</w:t>
      </w:r>
    </w:p>
    <w:p w14:paraId="6333718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10.12等离子体全彩色监测摄像装置1套。（在摄像装置观察样品进样、观察等离子体颜色变化、观察炬管、炬管中心管是否变脏需要清洗过程中，不影响样品分析的正常进行。） 1套</w:t>
      </w:r>
    </w:p>
    <w:p w14:paraId="294E89E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10.13雾化器压力提示附件，随时监控雾化器是否堵塞；1套</w:t>
      </w:r>
    </w:p>
    <w:p w14:paraId="6216ABD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10.14观测高度调节基座：6-18mm之间可调，精度≤1mm连续可调；1套</w:t>
      </w:r>
    </w:p>
    <w:p w14:paraId="202BD62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10.15废液管理系统（带传感器实时在软件中反馈废液高度）1套</w:t>
      </w:r>
    </w:p>
    <w:p w14:paraId="5D59334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10.16安装调试溶液启动包1套</w:t>
      </w:r>
    </w:p>
    <w:p w14:paraId="0D7DED4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10.17配套循环冷却水系统1套</w:t>
      </w:r>
    </w:p>
    <w:p w14:paraId="49F9280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10.18全自动进样器（≥180位，配500支15ml样品管）1套</w:t>
      </w:r>
    </w:p>
    <w:p w14:paraId="505ACFD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10.19配置耐HF酸,耐高盐，耐碱三合一进样系统（十字交叉雾化器或PFA雾化器、Scott雾室或PFA雾室、陶瓷中心管、炬管、底座等完整一套）  1 套。</w:t>
      </w:r>
    </w:p>
    <w:p w14:paraId="6732A02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10.20配置高灵敏度进样系统（含高效同心雾化器、旋流雾室、石英炬管、陶瓷中心管底座等完整）1套</w:t>
      </w:r>
    </w:p>
    <w:p w14:paraId="57A29F6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10.21增配消耗品备件（不含随主机消耗品）：石英炬管2套、炬管O圈组件2套、陶瓷中心管1套、中心管O圈组件2套、蠕动泵进样管36根、蠕动泵废样管24根</w:t>
      </w:r>
    </w:p>
    <w:p w14:paraId="674B7FE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10.22 配套工作站1套，配置不低于：CPU I7处理器、16G运行内存、1T固态硬盘、双网卡+无线网络、双com口</w:t>
      </w:r>
    </w:p>
    <w:p w14:paraId="51F1257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10.23输出设备1套（激光快速双面打印，具有联网ip打印功能）</w:t>
      </w:r>
    </w:p>
    <w:p w14:paraId="6D9E601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10.24分析软件一套</w:t>
      </w:r>
    </w:p>
    <w:p w14:paraId="5901BA4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10.25  10KV的UPS不间断电源（续航1小时）1套</w:t>
      </w:r>
    </w:p>
    <w:p w14:paraId="07758BE5">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1-2</w:t>
      </w:r>
    </w:p>
    <w:p w14:paraId="079F663C">
      <w:pPr>
        <w:pStyle w:val="7"/>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电感耦合等离子体质谱仪</w:t>
      </w:r>
    </w:p>
    <w:p w14:paraId="32F45F4A">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一、仪器总体性能及应用要求</w:t>
      </w:r>
    </w:p>
    <w:p w14:paraId="1A70336C">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 本设备主要适用于土壤、地下水、矿产品等环境、地质类样品的检测分析，可完成样品定性分析、半定量分析、精准定量分析及同位素比值分析等检测工作。</w:t>
      </w:r>
      <w:r>
        <w:rPr>
          <w:rFonts w:hint="eastAsia" w:asciiTheme="minorEastAsia" w:hAnsiTheme="minorEastAsia" w:eastAsiaTheme="minorEastAsia" w:cstheme="minorEastAsia"/>
          <w:b/>
          <w:sz w:val="24"/>
        </w:rPr>
        <w:t>（评审项28）</w:t>
      </w:r>
    </w:p>
    <w:p w14:paraId="140090ED">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★1.2 本项目所采购质谱设备须为多组四极杆串联质谱仪，严禁采用普通单四极杆质谱仪；仪器质量分析核心结构须为以下三种构型之一：四极杆?四极杆碰撞反应池?四极杆质量分析器、四极杆?六极杆碰撞反应池?四极杆质量分析器、四极杆?八极杆碰撞反应池?四极杆质量分析器。</w:t>
      </w:r>
    </w:p>
    <w:p w14:paraId="3976FD2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二、仪器工作环境要求</w:t>
      </w:r>
    </w:p>
    <w:p w14:paraId="62CCD179">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 工作环境温度：15℃～30℃；</w:t>
      </w:r>
      <w:r>
        <w:rPr>
          <w:rFonts w:hint="eastAsia" w:asciiTheme="minorEastAsia" w:hAnsiTheme="minorEastAsia" w:eastAsiaTheme="minorEastAsia" w:cstheme="minorEastAsia"/>
          <w:b/>
          <w:sz w:val="24"/>
        </w:rPr>
        <w:t>（评审项29）</w:t>
      </w:r>
    </w:p>
    <w:p w14:paraId="509EE5A8">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 工作环境湿度：＜80%（无冷凝现象）；</w:t>
      </w:r>
      <w:r>
        <w:rPr>
          <w:rFonts w:hint="eastAsia" w:asciiTheme="minorEastAsia" w:hAnsiTheme="minorEastAsia" w:eastAsiaTheme="minorEastAsia" w:cstheme="minorEastAsia"/>
          <w:b/>
          <w:sz w:val="24"/>
        </w:rPr>
        <w:t>（评审项30）</w:t>
      </w:r>
    </w:p>
    <w:p w14:paraId="65B9F235">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2.3 工作电源：单相200V～240V，50Hz交流供电。</w:t>
      </w:r>
      <w:r>
        <w:rPr>
          <w:rFonts w:hint="eastAsia" w:asciiTheme="minorEastAsia" w:hAnsiTheme="minorEastAsia" w:eastAsiaTheme="minorEastAsia" w:cstheme="minorEastAsia"/>
          <w:b/>
          <w:sz w:val="24"/>
        </w:rPr>
        <w:t>（评审项31）</w:t>
      </w:r>
    </w:p>
    <w:p w14:paraId="0BC5BFC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三、仪器技术要求</w:t>
      </w:r>
    </w:p>
    <w:p w14:paraId="4D495E3B">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（一）仪器软件系统</w:t>
      </w:r>
    </w:p>
    <w:p w14:paraId="5A0190CF">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 操作系统：仪器配套控制工作站须搭载 Microsoft® Windows 11 及以上官方操作系统，保障软件稳定运行与兼容适配。</w:t>
      </w:r>
      <w:r>
        <w:rPr>
          <w:rFonts w:hint="eastAsia" w:asciiTheme="minorEastAsia" w:hAnsiTheme="minorEastAsia" w:eastAsiaTheme="minorEastAsia" w:cstheme="minorEastAsia"/>
          <w:b/>
          <w:sz w:val="24"/>
        </w:rPr>
        <w:t>（评审项32）</w:t>
      </w:r>
    </w:p>
    <w:p w14:paraId="3A72F96C">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 仪器具备全流程无人值守分析功能，无需人工干预，可自动完成开机自检、性能调谐优化、样品序列自动分析、实验结束自动关机全流程自动化作业。</w:t>
      </w:r>
      <w:r>
        <w:rPr>
          <w:rFonts w:hint="eastAsia" w:asciiTheme="minorEastAsia" w:hAnsiTheme="minorEastAsia" w:eastAsiaTheme="minorEastAsia" w:cstheme="minorEastAsia"/>
          <w:b/>
          <w:sz w:val="24"/>
        </w:rPr>
        <w:t>（评审项33）</w:t>
      </w:r>
    </w:p>
    <w:p w14:paraId="220CEDB9">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 支持多元素同步分析模式，各待测元素可独立设置分辨率参数，设备可配置的差异化分辨率档位数量不少于15个，满足不同样品、不同元素的精准检测需求。</w:t>
      </w:r>
      <w:r>
        <w:rPr>
          <w:rFonts w:hint="eastAsia" w:asciiTheme="minorEastAsia" w:hAnsiTheme="minorEastAsia" w:eastAsiaTheme="minorEastAsia" w:cstheme="minorEastAsia"/>
          <w:b/>
          <w:sz w:val="24"/>
        </w:rPr>
        <w:t>（评审项34）</w:t>
      </w:r>
    </w:p>
    <w:p w14:paraId="7EE99CF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 ICP-MS配套操作分析软件支持脱机离线数据处理，软件授权可安装于10台（含）以上计算机终端，实现多终端离线数据查看、解析与复盘，不设置单台设备安装锁定限制。</w:t>
      </w:r>
      <w:r>
        <w:rPr>
          <w:rFonts w:hint="eastAsia" w:asciiTheme="minorEastAsia" w:hAnsiTheme="minorEastAsia" w:eastAsiaTheme="minorEastAsia" w:cstheme="minorEastAsia"/>
          <w:b/>
          <w:sz w:val="24"/>
        </w:rPr>
        <w:t>（评审项35）</w:t>
      </w:r>
    </w:p>
    <w:p w14:paraId="5497BA2A">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（二）仪器硬件系统</w:t>
      </w:r>
    </w:p>
    <w:p w14:paraId="715E5ABF">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1、进样系统</w:t>
      </w:r>
    </w:p>
    <w:p w14:paraId="477ADAE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 进样单元由高灵敏度同心雾化器、小体积旋流雾室组成。雾室具备免制冷直接点火运行能力；为规避制冷部件故障风险、降低后期运维成本，设备须配套1套半导体制冷雾室作为备用部件，支持按需切换制冷/非制冷工作模式。</w:t>
      </w:r>
      <w:r>
        <w:rPr>
          <w:rFonts w:hint="eastAsia" w:asciiTheme="minorEastAsia" w:hAnsiTheme="minorEastAsia" w:eastAsiaTheme="minorEastAsia" w:cstheme="minorEastAsia"/>
          <w:b/>
          <w:sz w:val="24"/>
        </w:rPr>
        <w:t>（评审项36）</w:t>
      </w:r>
    </w:p>
    <w:p w14:paraId="3D1BE046">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1.2 为有效降低样品记忆效应，雾室直接对接炬管基座安装，雾室出口至炬管入口的连接管路距离≤2cm，管路长度越短性能越优。</w:t>
      </w:r>
      <w:r>
        <w:rPr>
          <w:rFonts w:hint="eastAsia" w:asciiTheme="minorEastAsia" w:hAnsiTheme="minorEastAsia" w:eastAsiaTheme="minorEastAsia" w:cstheme="minorEastAsia"/>
          <w:b/>
          <w:sz w:val="24"/>
        </w:rPr>
        <w:t>（评审项37）</w:t>
      </w:r>
    </w:p>
    <w:p w14:paraId="48608D3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1.3 设备配置全景彩色观测视窗，可实时观测采样锥、喷射管口沉积物附着情况，便于运维人员及时开展清洗、维护作业，保障设备稳定运行。</w:t>
      </w:r>
      <w:r>
        <w:rPr>
          <w:rFonts w:hint="eastAsia" w:asciiTheme="minorEastAsia" w:hAnsiTheme="minorEastAsia" w:eastAsiaTheme="minorEastAsia" w:cstheme="minorEastAsia"/>
          <w:b/>
          <w:sz w:val="24"/>
        </w:rPr>
        <w:t>（评审项38）</w:t>
      </w:r>
    </w:p>
    <w:p w14:paraId="31493BA8">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1.4 蠕动泵系统配置≥4通道、≥12滚轮结构，有效提升样品引入及管路冲洗效率，增强仪器分析效率与进样拓展能力；蠕动泵最高运行转速≥120 rpm。</w:t>
      </w:r>
      <w:r>
        <w:rPr>
          <w:rFonts w:hint="eastAsia" w:asciiTheme="minorEastAsia" w:hAnsiTheme="minorEastAsia" w:eastAsiaTheme="minorEastAsia" w:cstheme="minorEastAsia"/>
          <w:b/>
          <w:sz w:val="24"/>
        </w:rPr>
        <w:t>投标人须提供蠕动泵转速软件设置界面截图作为佐证资料。（评审项39）</w:t>
      </w:r>
    </w:p>
    <w:p w14:paraId="20D2DC6A">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2、全基体进样系统</w:t>
      </w:r>
    </w:p>
    <w:p w14:paraId="25DA794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 设备须配备专用全基体进样系统，具备样品全自动在线气体稀释功能，最大稀释倍数≥200倍；稀释工序设置于炬管前端，可对高基体样品进行预处理稀释，有效规避高基体基质污染接口区域及质谱分析腔体，保护核心精密部件。</w:t>
      </w:r>
      <w:r>
        <w:rPr>
          <w:rFonts w:hint="eastAsia" w:asciiTheme="minorEastAsia" w:hAnsiTheme="minorEastAsia" w:eastAsiaTheme="minorEastAsia" w:cstheme="minorEastAsia"/>
          <w:b/>
          <w:sz w:val="24"/>
        </w:rPr>
        <w:t>（评审项40）</w:t>
      </w:r>
    </w:p>
    <w:p w14:paraId="27201F4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 全基体进样系统采用电子流量计+软件闭环控制模式，精准调控工作气体流量；系统预留通氧通路，可直接对高含量有机样品进样检测，无需复杂前期样品预处理。</w:t>
      </w:r>
      <w:r>
        <w:rPr>
          <w:rFonts w:hint="eastAsia" w:asciiTheme="minorEastAsia" w:hAnsiTheme="minorEastAsia" w:eastAsiaTheme="minorEastAsia" w:cstheme="minorEastAsia"/>
          <w:b/>
          <w:sz w:val="24"/>
        </w:rPr>
        <w:t>（评审项41）</w:t>
      </w:r>
    </w:p>
    <w:p w14:paraId="2D0CEC87">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2.3 气体控制系统：仪器搭载不少于5个高精度气体质量流量控制器，可独立、精准调控等离子体气、辅助气、雾化气、全基体进样系统用气、碰撞反应气五路气体流量，保障检测稳定性。</w:t>
      </w:r>
      <w:r>
        <w:rPr>
          <w:rFonts w:hint="eastAsia" w:asciiTheme="minorEastAsia" w:hAnsiTheme="minorEastAsia" w:eastAsiaTheme="minorEastAsia" w:cstheme="minorEastAsia"/>
          <w:b/>
          <w:sz w:val="24"/>
        </w:rPr>
        <w:t>（评审项42）</w:t>
      </w:r>
    </w:p>
    <w:p w14:paraId="7112CAF3">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3、射频发生器系统</w:t>
      </w:r>
    </w:p>
    <w:p w14:paraId="479B8EC5">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 仪器配置高频自激式全固态射频发生器，工作频率≥27MHz，高基体耐受性能优异，可直接进样有机样品且等离子体无熄火现象；搭载虚拟接地电弧抑制技术，可消除锥口二次电弧放电，无需依赖外部物理接地，无需加装屏蔽炬部件，无屏蔽炬耗材消耗。若投标产品必须配置屏蔽炬方可正常运行，供货时须附赠10套铂金屏蔽炬备用耗材。</w:t>
      </w:r>
      <w:r>
        <w:rPr>
          <w:rFonts w:hint="eastAsia" w:asciiTheme="minorEastAsia" w:hAnsiTheme="minorEastAsia" w:eastAsiaTheme="minorEastAsia" w:cstheme="minorEastAsia"/>
          <w:b/>
          <w:sz w:val="24"/>
        </w:rPr>
        <w:t>（评审项43）</w:t>
      </w:r>
    </w:p>
    <w:p w14:paraId="0DD6CAA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3.2 等离子体工作线圈采用自散热结构设计，无需水冷、气冷辅助冷却方式，射频功率损耗低；线圈采用实心永久合金材质，为非消耗性固定配件。若投标产品采用水冷式线圈结构，须额外配套5套螺旋备用线圈。</w:t>
      </w:r>
      <w:r>
        <w:rPr>
          <w:rFonts w:hint="eastAsia" w:asciiTheme="minorEastAsia" w:hAnsiTheme="minorEastAsia" w:eastAsiaTheme="minorEastAsia" w:cstheme="minorEastAsia"/>
          <w:b/>
          <w:sz w:val="24"/>
        </w:rPr>
        <w:t>（评审项44）</w:t>
      </w:r>
    </w:p>
    <w:p w14:paraId="7645B258">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3.3 等离子体炬管位置支持X、Y、Z三轴计算机全自动精准调节，可自动匹配最优检测位置。</w:t>
      </w:r>
      <w:r>
        <w:rPr>
          <w:rFonts w:hint="eastAsia" w:asciiTheme="minorEastAsia" w:hAnsiTheme="minorEastAsia" w:eastAsiaTheme="minorEastAsia" w:cstheme="minorEastAsia"/>
          <w:b/>
          <w:sz w:val="24"/>
        </w:rPr>
        <w:t>（评审项45）</w:t>
      </w:r>
    </w:p>
    <w:p w14:paraId="0C0B5617">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4、接口系统</w:t>
      </w:r>
    </w:p>
    <w:p w14:paraId="1A5CCB41">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★4.1 接口核心组件由采样锥、截取锥组成，保障离子束高效聚焦，提升复杂基体样品耐受能力；截取锥孔径≥0.9mm。配套大抽速真空系统，可保障足量离子导入真空腔体，降低锥孔堵塞概率。设备不得通过对锥体施加负电压实现离子提取，有效减少锥孔堵塞频次、延长锥体使用寿命、降低设备运维成本。</w:t>
      </w:r>
    </w:p>
    <w:p w14:paraId="4A8CBCDD">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4.2 采样锥与截取锥的间隙区域严禁通入任何工作气体，规避气体干扰离子传输。</w:t>
      </w:r>
      <w:r>
        <w:rPr>
          <w:rFonts w:hint="eastAsia" w:asciiTheme="minorEastAsia" w:hAnsiTheme="minorEastAsia" w:eastAsiaTheme="minorEastAsia" w:cstheme="minorEastAsia"/>
          <w:b/>
          <w:sz w:val="24"/>
        </w:rPr>
        <w:t>（评审项46）</w:t>
      </w:r>
    </w:p>
    <w:p w14:paraId="7A578EBF">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4.3 真空系统抽真空速度≥800L/s，大幅缩短真空平衡等待时间，提升设备开机及检测效率。</w:t>
      </w:r>
      <w:r>
        <w:rPr>
          <w:rFonts w:hint="eastAsia" w:asciiTheme="minorEastAsia" w:hAnsiTheme="minorEastAsia" w:eastAsiaTheme="minorEastAsia" w:cstheme="minorEastAsia"/>
          <w:b/>
          <w:sz w:val="24"/>
        </w:rPr>
        <w:t>（评审项47）</w:t>
      </w:r>
    </w:p>
    <w:p w14:paraId="20E2CA9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5、离子提取系统</w:t>
      </w:r>
    </w:p>
    <w:p w14:paraId="601320C1">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★5.1 设备搭载四极杆离子偏转聚焦系统，具备精准离子质量筛选功能，可对不同离子实施差异化偏转调控，有效抑制空间电荷效应，提升检测精准度。投标人须在投标文件中提供该功能软件截图，以及不少于5种低、中、高质量数元素对应的差异化偏转电压单次调谐曲线作为佐证资料，设备到货后接受现场验收测试。</w:t>
      </w:r>
    </w:p>
    <w:p w14:paraId="3453A37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5.2 离子光路采用90°正交偏转设计，可彻底分离中性粒子与光子，杜绝样品污染物沉积于分析腔体，实现提取透镜、离子透镜免清洗、免日常维护。若投标产品结构设计需定期维护提取透镜、离子透镜，供应商须承诺提供10次免费上门维护服务，包含差旅费、工时费等全部相关费用，无额外收费。</w:t>
      </w:r>
      <w:r>
        <w:rPr>
          <w:rFonts w:hint="eastAsia" w:asciiTheme="minorEastAsia" w:hAnsiTheme="minorEastAsia" w:eastAsiaTheme="minorEastAsia" w:cstheme="minorEastAsia"/>
          <w:b/>
          <w:sz w:val="24"/>
        </w:rPr>
        <w:t>（评审项48）</w:t>
      </w:r>
    </w:p>
    <w:p w14:paraId="0466368F">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6、四极杆碰撞反应池</w:t>
      </w:r>
    </w:p>
    <w:p w14:paraId="30410478">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6.1 碰撞反应池内置独立质量筛选结构，采用四极杆、六极杆或八极杆设计；其中四极杆结构需具备强反应性气体工况下的副产物去除能力，可有效消除质谱干扰，保障微量、痕量元素检测精度。</w:t>
      </w:r>
      <w:r>
        <w:rPr>
          <w:rFonts w:hint="eastAsia" w:asciiTheme="minorEastAsia" w:hAnsiTheme="minorEastAsia" w:eastAsiaTheme="minorEastAsia" w:cstheme="minorEastAsia"/>
          <w:b/>
          <w:sz w:val="24"/>
        </w:rPr>
        <w:t>（评审项49）</w:t>
      </w:r>
    </w:p>
    <w:p w14:paraId="63B1521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▲6.2 碰撞反应池具备轴向加速功能，</w:t>
      </w:r>
      <w:r>
        <w:rPr>
          <w:rFonts w:hint="eastAsia" w:asciiTheme="minorEastAsia" w:hAnsiTheme="minorEastAsia" w:eastAsiaTheme="minorEastAsia" w:cstheme="minorEastAsia"/>
          <w:b/>
          <w:sz w:val="24"/>
        </w:rPr>
        <w:t>投标人须提供轴向加速硬件实物图及软件电压设置界面截图作为佐证材料。</w:t>
      </w:r>
    </w:p>
    <w:p w14:paraId="4952FEE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▲6.3 设备兼容多种碰撞气体、反应气体及混合气体，可使用纯氦气、纯氢气等碰撞气体，纯甲烷、纯氧气等反应气体；腔体采用惰性防腐处理，可稳定使用纯度＞99.999%的高纯氨气。</w:t>
      </w:r>
      <w:r>
        <w:rPr>
          <w:rFonts w:hint="eastAsia" w:asciiTheme="minorEastAsia" w:hAnsiTheme="minorEastAsia" w:eastAsiaTheme="minorEastAsia" w:cstheme="minorEastAsia"/>
          <w:b/>
          <w:sz w:val="24"/>
        </w:rPr>
        <w:t>投标人须提供设备氨气专用适配接口证明资料。</w:t>
      </w:r>
    </w:p>
    <w:p w14:paraId="65A98CE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6.4 仪器支持单次分析过程中自动切换工作模式，可实现标准模式与碰撞模式、标准模式与反应模式无缝切换，无需停机重启，大幅提升检测效率。</w:t>
      </w:r>
      <w:r>
        <w:rPr>
          <w:rFonts w:hint="eastAsia" w:asciiTheme="minorEastAsia" w:hAnsiTheme="minorEastAsia" w:eastAsiaTheme="minorEastAsia" w:cstheme="minorEastAsia"/>
          <w:b/>
          <w:sz w:val="24"/>
        </w:rPr>
        <w:t>（评审项50）</w:t>
      </w:r>
    </w:p>
    <w:p w14:paraId="5AF82151">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▲6.5 碰撞反应池工作气体最大设置流速＞12mL/min，</w:t>
      </w:r>
      <w:r>
        <w:rPr>
          <w:rFonts w:hint="eastAsia" w:asciiTheme="minorEastAsia" w:hAnsiTheme="minorEastAsia" w:eastAsiaTheme="minorEastAsia" w:cstheme="minorEastAsia"/>
          <w:b/>
          <w:sz w:val="24"/>
        </w:rPr>
        <w:t>投标人须提供对应软件参数设置截图作为投标佐证。</w:t>
      </w:r>
    </w:p>
    <w:p w14:paraId="5B9F43A7">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7、四极杆质量分析器</w:t>
      </w:r>
    </w:p>
    <w:p w14:paraId="500E90D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7.1 质量检测范围：1amu～280amu及以上，可覆盖常规元素全质量数检测需求，更优性能方案均可接受。</w:t>
      </w:r>
      <w:r>
        <w:rPr>
          <w:rFonts w:hint="eastAsia" w:asciiTheme="minorEastAsia" w:hAnsiTheme="minorEastAsia" w:eastAsiaTheme="minorEastAsia" w:cstheme="minorEastAsia"/>
          <w:b/>
          <w:sz w:val="24"/>
        </w:rPr>
        <w:t>（评审项51）</w:t>
      </w:r>
    </w:p>
    <w:p w14:paraId="4A2E497D">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▲7.2 分辨率：设备配备标准分辨率、高分辨率双工作模式，支持各元素独立自定义分辨率。单次样品分析过程中，可在线连续切换不少于8种不同分辨率档位，分辨率可调区间为0.1amu～2.0amu；低分辨率可设置至2.0amu并直接应用于完整分析方法，拓宽样品检测适用范围。</w:t>
      </w:r>
      <w:r>
        <w:rPr>
          <w:rFonts w:hint="eastAsia" w:asciiTheme="minorEastAsia" w:hAnsiTheme="minorEastAsia" w:eastAsiaTheme="minorEastAsia" w:cstheme="minorEastAsia"/>
          <w:b/>
          <w:sz w:val="24"/>
        </w:rPr>
        <w:t>投标人须提供不少于8种不同分辨率软件实时截图，同时提供投标人盖章确认的对应分辨率实时谱图，作为投标评审依据。</w:t>
      </w:r>
    </w:p>
    <w:p w14:paraId="4BB70F6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7.3 质量分析器驱动频率≥2.5MHz，保障设备高速采集、稳定运行，提升检测重复性与精准度。</w:t>
      </w:r>
      <w:r>
        <w:rPr>
          <w:rFonts w:hint="eastAsia" w:asciiTheme="minorEastAsia" w:hAnsiTheme="minorEastAsia" w:eastAsiaTheme="minorEastAsia" w:cstheme="minorEastAsia"/>
          <w:b/>
          <w:sz w:val="24"/>
        </w:rPr>
        <w:t>（评审项52）</w:t>
      </w:r>
    </w:p>
    <w:p w14:paraId="7663EE27">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8、检测器系统</w:t>
      </w:r>
    </w:p>
    <w:p w14:paraId="416BC13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8.1 检测器采用长寿命耐用设计，具备脉冲、模拟双模式同步检测功能，可同时采集双模式信号，适配高低浓度跨度样品的检测需求。</w:t>
      </w:r>
      <w:r>
        <w:rPr>
          <w:rFonts w:hint="eastAsia" w:asciiTheme="minorEastAsia" w:hAnsiTheme="minorEastAsia" w:eastAsiaTheme="minorEastAsia" w:cstheme="minorEastAsia"/>
          <w:b/>
          <w:sz w:val="24"/>
        </w:rPr>
        <w:t>（评审项53）</w:t>
      </w:r>
    </w:p>
    <w:p w14:paraId="3765C11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★8.2 设备具备智能电子稀释功能，在氦气流速、等离子体功率等核心仪器参数恒定不变的前提下，单次进样可对1000ppm钠标准溶液实现10个以上不同灵敏度档位检测。支持单次进样同步测定1000ppm级别常量元素与1ppb级别痕量元素，全程在脉冲模式（响应值＜200万cps）下完成检测。该功能可在不降低痕量元素检测灵敏度的前提下，实现常量元素智能电子稀释，高低浓度元素检测灵敏度差异＜5%，且两种元素信号强度均＞8万cps，实现一次进样同步检测高低含量元素，方法线性相关系数≥0.999。</w:t>
      </w:r>
    </w:p>
    <w:p w14:paraId="488AE5F2">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▲8.3 检测器瞬时采集速率≥10万点/秒，最小积分时间低至10微秒，可满足单形态分析、单纳米颗粒测试、单细胞瞬时信号采集等高精度、瞬时性分析场景需求。</w:t>
      </w:r>
      <w:r>
        <w:rPr>
          <w:rFonts w:hint="eastAsia" w:asciiTheme="minorEastAsia" w:hAnsiTheme="minorEastAsia" w:eastAsiaTheme="minorEastAsia" w:cstheme="minorEastAsia"/>
          <w:b/>
          <w:sz w:val="24"/>
        </w:rPr>
        <w:t>投标人须提供软件参数设置截图作为投标佐证资料。</w:t>
      </w:r>
    </w:p>
    <w:p w14:paraId="02B40E62">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9、真空系统</w:t>
      </w:r>
    </w:p>
    <w:p w14:paraId="3A78616D">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9.1 设备配置四级真空系统，真空恢复速度快、稳定性强；设备关机24小时内任意时刻冷启动，达到检测所需真空度的时间≤8分钟，系统极限真空度可达10⁻⁸ Torr级别。</w:t>
      </w:r>
      <w:r>
        <w:rPr>
          <w:rFonts w:hint="eastAsia" w:asciiTheme="minorEastAsia" w:hAnsiTheme="minorEastAsia" w:eastAsiaTheme="minorEastAsia" w:cstheme="minorEastAsia"/>
          <w:b/>
          <w:sz w:val="24"/>
        </w:rPr>
        <w:t>（评审项54）</w:t>
      </w:r>
    </w:p>
    <w:p w14:paraId="3D0A8263">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9.2 真空系统机械泵采用全聚氟醚泵油，使用寿命长，可实现≥2年免更换维护。</w:t>
      </w:r>
      <w:r>
        <w:rPr>
          <w:rFonts w:hint="eastAsia" w:asciiTheme="minorEastAsia" w:hAnsiTheme="minorEastAsia" w:eastAsiaTheme="minorEastAsia" w:cstheme="minorEastAsia"/>
          <w:b/>
          <w:sz w:val="24"/>
        </w:rPr>
        <w:t>（评审项55）</w:t>
      </w:r>
    </w:p>
    <w:p w14:paraId="2211BB49">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9.3 分子涡轮泵抽气能力≥700L/分钟，保障真空系统快速建立及稳定运行。</w:t>
      </w:r>
      <w:r>
        <w:rPr>
          <w:rFonts w:hint="eastAsia" w:asciiTheme="minorEastAsia" w:hAnsiTheme="minorEastAsia" w:eastAsiaTheme="minorEastAsia" w:cstheme="minorEastAsia"/>
          <w:b/>
          <w:sz w:val="24"/>
        </w:rPr>
        <w:t>（评审项56）</w:t>
      </w:r>
    </w:p>
    <w:p w14:paraId="3E0C4F3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10、仪器触控系统</w:t>
      </w:r>
    </w:p>
    <w:p w14:paraId="4B02262D">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▲10.1 设备配备嵌入式液晶触摸屏，支持硬件参数设置、设备实时控制，可可视化诊断仪器运行状态，实时查看雾化气背压、真空压力等核心运行参数。</w:t>
      </w:r>
      <w:r>
        <w:rPr>
          <w:rFonts w:hint="eastAsia" w:asciiTheme="minorEastAsia" w:hAnsiTheme="minorEastAsia" w:eastAsiaTheme="minorEastAsia" w:cstheme="minorEastAsia"/>
          <w:b/>
          <w:sz w:val="24"/>
        </w:rPr>
        <w:t>投标人须提供设备触控屏实物图片作为佐证资料。</w:t>
      </w:r>
    </w:p>
    <w:p w14:paraId="4D0F834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10.2 触控屏除常规设备控制功能外，可实现仪器运行数据统计分析，支持查看氩气消耗量、设备总运行时长等运维参数。</w:t>
      </w:r>
      <w:r>
        <w:rPr>
          <w:rFonts w:hint="eastAsia" w:asciiTheme="minorEastAsia" w:hAnsiTheme="minorEastAsia" w:eastAsiaTheme="minorEastAsia" w:cstheme="minorEastAsia"/>
          <w:b/>
          <w:sz w:val="24"/>
        </w:rPr>
        <w:t>（评审项57）</w:t>
      </w:r>
    </w:p>
    <w:p w14:paraId="486396BB">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10.3 支持通过机载液晶触摸屏调取设备官方维护教学视频，便于日常自主运维。</w:t>
      </w:r>
      <w:r>
        <w:rPr>
          <w:rFonts w:hint="eastAsia" w:asciiTheme="minorEastAsia" w:hAnsiTheme="minorEastAsia" w:eastAsiaTheme="minorEastAsia" w:cstheme="minorEastAsia"/>
          <w:b/>
          <w:sz w:val="24"/>
        </w:rPr>
        <w:t>（评审项58）</w:t>
      </w:r>
    </w:p>
    <w:p w14:paraId="77507926">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 具备数据对接接口，要求能与LIMS进行直接对接，所有样品信息直接有LIMS下发至工作站软件中，通过自动序列输入，确保结果在LIMS中可靠地分配到正确的样品。数据处理完成之后，LIMS可以通过接口获取到对应的结果信息和报告文件，无需通过LIMS再做报告解析。</w:t>
      </w:r>
      <w:r>
        <w:rPr>
          <w:rFonts w:hint="eastAsia" w:asciiTheme="minorEastAsia" w:hAnsiTheme="minorEastAsia" w:eastAsiaTheme="minorEastAsia" w:cstheme="minorEastAsia"/>
          <w:b/>
          <w:sz w:val="24"/>
        </w:rPr>
        <w:t>（评审项59）</w:t>
      </w:r>
    </w:p>
    <w:p w14:paraId="3B57BAEA">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四、仪器核心性能指标</w:t>
      </w:r>
    </w:p>
    <w:p w14:paraId="1310AF3E">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 灵敏度指标：低质量数≥55M cps/ppm；中质量数≥200M cps/ppm；高质量数≥300M cps/ppm；随机背景（220amu）＜1cps。</w:t>
      </w:r>
      <w:r>
        <w:rPr>
          <w:rFonts w:hint="eastAsia" w:asciiTheme="minorEastAsia" w:hAnsiTheme="minorEastAsia" w:eastAsiaTheme="minorEastAsia" w:cstheme="minorEastAsia"/>
          <w:b/>
          <w:sz w:val="24"/>
        </w:rPr>
        <w:t>（评审项60）</w:t>
      </w:r>
    </w:p>
    <w:p w14:paraId="7B6352B2">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 氧化物离子产率：CeO⁺/Ce⁺ ≤2.5%（无需启用制冷雾室）。</w:t>
      </w:r>
      <w:r>
        <w:rPr>
          <w:rFonts w:hint="eastAsia" w:asciiTheme="minorEastAsia" w:hAnsiTheme="minorEastAsia" w:eastAsiaTheme="minorEastAsia" w:cstheme="minorEastAsia"/>
          <w:b/>
          <w:sz w:val="24"/>
        </w:rPr>
        <w:t>（评审项61）</w:t>
      </w:r>
    </w:p>
    <w:p w14:paraId="59E11C05">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 双电荷离子产率：Ce²⁺/Ce⁺ ≤3.0%。</w:t>
      </w:r>
      <w:r>
        <w:rPr>
          <w:rFonts w:hint="eastAsia" w:asciiTheme="minorEastAsia" w:hAnsiTheme="minorEastAsia" w:eastAsiaTheme="minorEastAsia" w:cstheme="minorEastAsia"/>
          <w:b/>
          <w:sz w:val="24"/>
        </w:rPr>
        <w:t>（评审项62）</w:t>
      </w:r>
    </w:p>
    <w:p w14:paraId="3B9756C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 检出限指标：Be（9）＜0.5ppt；In（115）＜0.1ppt；U（238）＜0.1ppt。</w:t>
      </w:r>
      <w:r>
        <w:rPr>
          <w:rFonts w:hint="eastAsia" w:asciiTheme="minorEastAsia" w:hAnsiTheme="minorEastAsia" w:eastAsiaTheme="minorEastAsia" w:cstheme="minorEastAsia"/>
          <w:b/>
          <w:sz w:val="24"/>
        </w:rPr>
        <w:t>（评审项63）</w:t>
      </w:r>
    </w:p>
    <w:p w14:paraId="6730AAE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 长期稳定性：4小时连续检测RSD≤4%，检测过程不添加内标，每10分钟完成一次测试。</w:t>
      </w:r>
      <w:r>
        <w:rPr>
          <w:rFonts w:hint="eastAsia" w:asciiTheme="minorEastAsia" w:hAnsiTheme="minorEastAsia" w:eastAsiaTheme="minorEastAsia" w:cstheme="minorEastAsia"/>
          <w:b/>
          <w:sz w:val="24"/>
        </w:rPr>
        <w:t>（评审项64）</w:t>
      </w:r>
    </w:p>
    <w:p w14:paraId="6EC3116B">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 同位素比精度：¹⁰⁷Ag/¹⁰⁹Ag同位素比值RSD＜0.08%。</w:t>
      </w:r>
      <w:r>
        <w:rPr>
          <w:rFonts w:hint="eastAsia" w:asciiTheme="minorEastAsia" w:hAnsiTheme="minorEastAsia" w:eastAsiaTheme="minorEastAsia" w:cstheme="minorEastAsia"/>
          <w:b/>
          <w:sz w:val="24"/>
        </w:rPr>
        <w:t>（评审项65）</w:t>
      </w:r>
    </w:p>
    <w:p w14:paraId="697D8468">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 抗干扰检测能力：具备将P、S转化为PO、SO离子的检测功能，可有效消除NO、O₂对P、S元素的检测干扰，PO、SO离子检出限分别优于0.1ppb、0.25ppb。</w:t>
      </w:r>
      <w:r>
        <w:rPr>
          <w:rFonts w:hint="eastAsia" w:asciiTheme="minorEastAsia" w:hAnsiTheme="minorEastAsia" w:eastAsiaTheme="minorEastAsia" w:cstheme="minorEastAsia"/>
          <w:b/>
          <w:sz w:val="24"/>
        </w:rPr>
        <w:t>（评审项66）</w:t>
      </w:r>
    </w:p>
    <w:p w14:paraId="7CB99572">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★五、仪器全套配置要求</w:t>
      </w:r>
    </w:p>
    <w:p w14:paraId="633D900D">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 电感耦合等离子体质谱仪主机及配套安装工具包1套（含高灵敏度同心雾化器、小体积旋流雾室、全彩色等离子体观测窗、XYZ三轴全自动等离子体位置调节机构、射频发生器、采样锥、截取锥、四极杆离子偏转器、带轴向加速功能的碰撞反应池、电子智能稀释系统、超高稳定四极杆质量分析器、双模同步检测器、四级真空系统、配套操作软件等全套核心组件）。</w:t>
      </w:r>
    </w:p>
    <w:p w14:paraId="4D3EAD58">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 配套循环冷却水系统1套。</w:t>
      </w:r>
    </w:p>
    <w:p w14:paraId="44BA4F54">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 仪器专用调试溶液1套。</w:t>
      </w:r>
    </w:p>
    <w:p w14:paraId="20D5AAC5">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4 200倍稀释带电子流量计全基体进样系统1套。</w:t>
      </w:r>
    </w:p>
    <w:p w14:paraId="2D3C9A22">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 29种元素混合标准溶液1套。</w:t>
      </w:r>
    </w:p>
    <w:p w14:paraId="729E7959">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6 多元素内标溶液（⁶Li、Sc、Ge、Y、In、Tb、Bi，100mL）1套。</w:t>
      </w:r>
    </w:p>
    <w:p w14:paraId="44CFA1DB">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7 180位样品位、10位标样位全自动进样器1套。</w:t>
      </w:r>
    </w:p>
    <w:p w14:paraId="451C8F92">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8 备用耗材一批：①蠕动泵进样管2包、②废液排放管2包、③内标泵管1包、④石英炬管中心管1套、⑤采样锥和截取锥各1套、⑥采样锥垫片2套、⑦O型圈1套、⑧超锥固定螺丝2套、⑨15mL样品管500支。</w:t>
      </w:r>
    </w:p>
    <w:p w14:paraId="179F4081">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9  配套工作站1套，配置不低于：CPU I7处理器、16G运行内存、1T固态硬盘、双网卡+无线网络、双com口；</w:t>
      </w:r>
    </w:p>
    <w:p w14:paraId="72616B93">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10输出设备1套（激光快速双面打印，具有联网ip打印功能）</w:t>
      </w:r>
    </w:p>
    <w:p w14:paraId="7860F94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 10KV的UPS不间断电源（续航1小时）1套。</w:t>
      </w:r>
    </w:p>
    <w:p w14:paraId="7F131910">
      <w:pPr>
        <w:pStyle w:val="7"/>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注：1.以上技术和服务要求未标注误差范围的重量、尺寸、体积等允许±2%误差。</w:t>
      </w:r>
    </w:p>
    <w:p w14:paraId="5990DA5A">
      <w:pPr>
        <w:pStyle w:val="7"/>
        <w:spacing w:line="360" w:lineRule="auto"/>
        <w:ind w:firstLine="964"/>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2.技术参数中关于性能指标未列明误差范围的均要求满足或优于招标要求。</w:t>
      </w:r>
    </w:p>
    <w:p w14:paraId="0E25DF6C">
      <w:pPr>
        <w:pStyle w:val="7"/>
        <w:spacing w:line="360" w:lineRule="auto"/>
        <w:ind w:firstLine="964"/>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3.以上采购清单中，除明确不允许偏离的固定值或区间外，其余参数区间，投标人所投产品须至少覆盖招标文件要求的范围。</w:t>
      </w:r>
    </w:p>
    <w:p w14:paraId="15C7002D">
      <w:pPr>
        <w:pStyle w:val="7"/>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三、商务要求（以“★”标示的内容为不允许负偏离的实质性要求）</w:t>
      </w:r>
    </w:p>
    <w:p w14:paraId="1B70BDD3">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5"/>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6"/>
        <w:gridCol w:w="1328"/>
        <w:gridCol w:w="1536"/>
        <w:gridCol w:w="6104"/>
      </w:tblGrid>
      <w:tr w14:paraId="78EC2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70B6B64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674" w:type="pct"/>
          </w:tcPr>
          <w:p w14:paraId="39038A9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参数性质</w:t>
            </w:r>
          </w:p>
        </w:tc>
        <w:tc>
          <w:tcPr>
            <w:tcW w:w="780" w:type="pct"/>
          </w:tcPr>
          <w:p w14:paraId="74EA9AC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类型</w:t>
            </w:r>
          </w:p>
        </w:tc>
        <w:tc>
          <w:tcPr>
            <w:tcW w:w="3099" w:type="pct"/>
          </w:tcPr>
          <w:p w14:paraId="7F7FE8E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w:t>
            </w:r>
          </w:p>
        </w:tc>
      </w:tr>
      <w:tr w14:paraId="04A951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472DF12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674" w:type="pct"/>
          </w:tcPr>
          <w:p w14:paraId="22FDA83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0" w:type="pct"/>
          </w:tcPr>
          <w:p w14:paraId="0938FB0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交货时间</w:t>
            </w:r>
          </w:p>
        </w:tc>
        <w:tc>
          <w:tcPr>
            <w:tcW w:w="3099" w:type="pct"/>
          </w:tcPr>
          <w:p w14:paraId="12C0191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自合同签订之日起1个月内设备到货，完整交货后1个月内完成终验。</w:t>
            </w:r>
          </w:p>
        </w:tc>
      </w:tr>
      <w:tr w14:paraId="59D207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437D282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674" w:type="pct"/>
          </w:tcPr>
          <w:p w14:paraId="2A0D734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0" w:type="pct"/>
          </w:tcPr>
          <w:p w14:paraId="57C3DE3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交货地点</w:t>
            </w:r>
          </w:p>
        </w:tc>
        <w:tc>
          <w:tcPr>
            <w:tcW w:w="3099" w:type="pct"/>
          </w:tcPr>
          <w:p w14:paraId="0782626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采购人指定地点。</w:t>
            </w:r>
          </w:p>
        </w:tc>
      </w:tr>
      <w:tr w14:paraId="394418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3D61548D">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674" w:type="pct"/>
          </w:tcPr>
          <w:p w14:paraId="4C5FDFB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0" w:type="pct"/>
          </w:tcPr>
          <w:p w14:paraId="0E8A7C03">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交货条件</w:t>
            </w:r>
          </w:p>
        </w:tc>
        <w:tc>
          <w:tcPr>
            <w:tcW w:w="3099" w:type="pct"/>
          </w:tcPr>
          <w:p w14:paraId="0A5D7A2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安装调试完毕并经终验合格。</w:t>
            </w:r>
          </w:p>
        </w:tc>
      </w:tr>
      <w:tr w14:paraId="040917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60A76A88">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674" w:type="pct"/>
          </w:tcPr>
          <w:p w14:paraId="2F95B067">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0" w:type="pct"/>
          </w:tcPr>
          <w:p w14:paraId="7C14BCA0">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是否邀请投标人验收</w:t>
            </w:r>
          </w:p>
        </w:tc>
        <w:tc>
          <w:tcPr>
            <w:tcW w:w="3099" w:type="pct"/>
          </w:tcPr>
          <w:p w14:paraId="7E953D2A">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不邀请投标人验收</w:t>
            </w:r>
          </w:p>
        </w:tc>
      </w:tr>
      <w:tr w14:paraId="5EC0D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78B0E58F">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674" w:type="pct"/>
          </w:tcPr>
          <w:p w14:paraId="3AAA2442">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0" w:type="pct"/>
          </w:tcPr>
          <w:p w14:paraId="38615934">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履约验收方式</w:t>
            </w:r>
          </w:p>
        </w:tc>
        <w:tc>
          <w:tcPr>
            <w:tcW w:w="3099" w:type="pct"/>
          </w:tcPr>
          <w:p w14:paraId="78E2289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1、期次1，说明：按招标文件要求，具体详见本章三、商务条件 验收要求中“验收”相关条款的规定。</w:t>
            </w:r>
          </w:p>
        </w:tc>
      </w:tr>
      <w:tr w14:paraId="0733E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07BF029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674" w:type="pct"/>
          </w:tcPr>
          <w:p w14:paraId="5B43BE59">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0" w:type="pct"/>
          </w:tcPr>
          <w:p w14:paraId="27A4CEDE">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合同支付方式</w:t>
            </w:r>
          </w:p>
        </w:tc>
        <w:tc>
          <w:tcPr>
            <w:tcW w:w="3099" w:type="pct"/>
          </w:tcPr>
          <w:p w14:paraId="62F0E67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1、进度款，合同签订后，合同项下全部货物经中标人安装调试完毕并经采购人试运行及最终验收合格，报销材料经采购人审核无误后，达到付款条件起10日内，支付合同总金额的100.00%</w:t>
            </w:r>
          </w:p>
        </w:tc>
      </w:tr>
      <w:tr w14:paraId="731D1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45" w:type="pct"/>
          </w:tcPr>
          <w:p w14:paraId="4974D7B1">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674" w:type="pct"/>
          </w:tcPr>
          <w:p w14:paraId="3E6CCB9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0" w:type="pct"/>
          </w:tcPr>
          <w:p w14:paraId="08858F16">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w:t>
            </w:r>
          </w:p>
        </w:tc>
        <w:tc>
          <w:tcPr>
            <w:tcW w:w="3099" w:type="pct"/>
          </w:tcPr>
          <w:p w14:paraId="439236A5">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不缴纳</w:t>
            </w:r>
          </w:p>
          <w:p w14:paraId="01E8C7CC">
            <w:pPr>
              <w:pStyle w:val="7"/>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缴纳方式：无</w:t>
            </w:r>
          </w:p>
        </w:tc>
      </w:tr>
    </w:tbl>
    <w:p w14:paraId="17A924AC">
      <w:pPr>
        <w:pStyle w:val="7"/>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其他商务要求</w:t>
      </w:r>
    </w:p>
    <w:p w14:paraId="0D99A447">
      <w:pPr>
        <w:pStyle w:val="7"/>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★8、其他商务要求：</w:t>
      </w:r>
    </w:p>
    <w:p w14:paraId="24E41A60">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 供货至验收环节的总体要求</w:t>
      </w:r>
    </w:p>
    <w:p w14:paraId="13F9549D">
      <w:pPr>
        <w:pStyle w:val="7"/>
        <w:spacing w:line="360" w:lineRule="auto"/>
        <w:ind w:firstLine="4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fill="FFFFFF"/>
        </w:rPr>
        <w:t>8.1.1中标人应将安装所须水、电、气等要求通知采购人使用部门，确保有关线路设计合理、运行可靠、维护方便，必要时应安排工程师进行实地勘察。货物运送前应提前与采购人使用部门联系和确认具体时间和方式，涉及尺寸较大或重量较重的货物，应提前考虑吊装搬运方案，交货过程中若产生机械或人工吊装等、拆除采购人装修及后续恢复等费用包含在报价内，并由中标人支付。货物搬运至采购人指定位置并确认无损，中标人与采购人使用部门须共同签收确认，进入下一道安装调试、技术培训及验收流程。</w:t>
      </w:r>
    </w:p>
    <w:p w14:paraId="0A773A06">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8.1.2调试运行正常后,中标人提出申请，由采购人组织技术性能终验并在验收单上签署验收意见。验收中若发现设备无法正常运行或设备硬件、软件问题由中标人免费更换。交货后30天内必须完成安装、调试、培训和验收事项，若中标人供货后在30天内不能通过验收，采购人有权要求退货并赔偿损失。验收过程中所产生的所有费用（包括但不限于包装费、运输费、保险费、再次检定费等）均由</w:t>
      </w:r>
      <w:r>
        <w:rPr>
          <w:rFonts w:hint="eastAsia" w:asciiTheme="minorEastAsia" w:hAnsiTheme="minorEastAsia" w:eastAsiaTheme="minorEastAsia" w:cstheme="minorEastAsia"/>
          <w:sz w:val="24"/>
          <w:szCs w:val="24"/>
          <w:shd w:val="clear" w:fill="FFFFFF"/>
        </w:rPr>
        <w:t>包含在报价</w:t>
      </w:r>
      <w:r>
        <w:rPr>
          <w:rFonts w:hint="eastAsia" w:asciiTheme="minorEastAsia" w:hAnsiTheme="minorEastAsia" w:eastAsiaTheme="minorEastAsia" w:cstheme="minorEastAsia"/>
          <w:sz w:val="24"/>
          <w:szCs w:val="24"/>
        </w:rPr>
        <w:t>内，并由中标人</w:t>
      </w:r>
      <w:r>
        <w:rPr>
          <w:rFonts w:hint="eastAsia" w:asciiTheme="minorEastAsia" w:hAnsiTheme="minorEastAsia" w:eastAsiaTheme="minorEastAsia" w:cstheme="minorEastAsia"/>
          <w:sz w:val="24"/>
          <w:szCs w:val="24"/>
          <w:shd w:val="clear" w:fill="FFFFFF"/>
        </w:rPr>
        <w:t>支付</w:t>
      </w:r>
      <w:r>
        <w:rPr>
          <w:rFonts w:hint="eastAsia" w:asciiTheme="minorEastAsia" w:hAnsiTheme="minorEastAsia" w:eastAsiaTheme="minorEastAsia" w:cstheme="minorEastAsia"/>
          <w:sz w:val="24"/>
          <w:szCs w:val="24"/>
        </w:rPr>
        <w:t>。</w:t>
      </w:r>
    </w:p>
    <w:p w14:paraId="44C17490">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8.1.3技术培训：中标人应结合本项目的安装、调试及运行过程，有计划对采购人派出的管理、维护人员进行基本知识、使用、维护保养技术的现场培训，培训人员不少于2人，以保证本项目的良好运行。直至采购人的技术人员能熟练独立工作并能简单的进行故障排除。中标人委派的专业技术人员所需费用均由中标人承担。</w:t>
      </w:r>
    </w:p>
    <w:p w14:paraId="2F0B246B">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8.1.4投标人中标后应在合同签订后10日内提供现场完整安装方案，提前供采购人确认。</w:t>
      </w:r>
    </w:p>
    <w:p w14:paraId="238C4C3F">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8.1.5验收要求</w:t>
      </w:r>
    </w:p>
    <w:p w14:paraId="2FC39A90">
      <w:pPr>
        <w:pStyle w:val="7"/>
        <w:spacing w:line="360" w:lineRule="auto"/>
        <w:ind w:firstLine="4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8.1.5.1本项目依据以下相应要求进行技术性能验收，外观及尺寸按招标文件验收（若有），其他商务要求按本合同内容验收。</w:t>
      </w:r>
      <w:r>
        <w:rPr>
          <w:rFonts w:hint="eastAsia" w:asciiTheme="minorEastAsia" w:hAnsiTheme="minorEastAsia" w:eastAsiaTheme="minorEastAsia" w:cstheme="minorEastAsia"/>
          <w:b/>
          <w:sz w:val="24"/>
          <w:szCs w:val="24"/>
        </w:rPr>
        <w:t>验收过程中产生的校准、检查或测试费用均包含在投标报价内，并由中标供应商支付。</w:t>
      </w:r>
    </w:p>
    <w:p w14:paraId="5AB292DC">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8.2售后服务</w:t>
      </w:r>
    </w:p>
    <w:p w14:paraId="56213930">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8.2.1质量保修期从货物经双方签字最终验收之日起算2</w:t>
      </w:r>
      <w:r>
        <w:rPr>
          <w:rFonts w:hint="eastAsia" w:asciiTheme="minorEastAsia" w:hAnsiTheme="minorEastAsia" w:eastAsiaTheme="minorEastAsia" w:cstheme="minorEastAsia"/>
          <w:b/>
          <w:sz w:val="24"/>
          <w:szCs w:val="24"/>
        </w:rPr>
        <w:t>年</w:t>
      </w:r>
      <w:r>
        <w:rPr>
          <w:rFonts w:hint="eastAsia" w:asciiTheme="minorEastAsia" w:hAnsiTheme="minorEastAsia" w:eastAsiaTheme="minorEastAsia" w:cstheme="minorEastAsia"/>
          <w:sz w:val="24"/>
          <w:szCs w:val="24"/>
        </w:rPr>
        <w:t>，若中标人承诺延长，合同则按其承诺执行。为了能保证及时响应售后服务各项内容，中标人须提供售后服务联系人，联系电话，联系地址。</w:t>
      </w:r>
    </w:p>
    <w:p w14:paraId="25DFBC51">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8.2.2质量保修期内：中标人在接到采购人故障通知后，2小时内予以电话响应并帮助指导解决问题；电话服务无法解决的，在4至24小时内派客户服务工程师到达客户现场检修仪器；若工程师不能排除设备故障时，中标人负责由设备生产厂家派技术人员须在5个工作日内到现场解决问题；对同一故障维修超过3次仍无法解决的，采购人则有权要求更换新的合格设备，更换后的质量保修期从更换之日起相应顺延。质保期期间产生的一切费用均包含在报价中，由中标人承担。</w:t>
      </w:r>
    </w:p>
    <w:p w14:paraId="51EA0284">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8.2.3质量保修期结束后，中标人提供一次上门技术指导和设备维护清洁服务，且</w:t>
      </w:r>
      <w:r>
        <w:rPr>
          <w:rFonts w:hint="eastAsia" w:asciiTheme="minorEastAsia" w:hAnsiTheme="minorEastAsia" w:eastAsiaTheme="minorEastAsia" w:cstheme="minorEastAsia"/>
          <w:b/>
          <w:sz w:val="24"/>
          <w:szCs w:val="24"/>
        </w:rPr>
        <w:t>设备自带软件提供终身升级服务（若有）</w:t>
      </w:r>
      <w:r>
        <w:rPr>
          <w:rFonts w:hint="eastAsia" w:asciiTheme="minorEastAsia" w:hAnsiTheme="minorEastAsia" w:eastAsiaTheme="minorEastAsia" w:cstheme="minorEastAsia"/>
          <w:sz w:val="24"/>
          <w:szCs w:val="24"/>
        </w:rPr>
        <w:t>，以上费用包含在报价内。对更换零配件只收取成本费，不收人工服务费。</w:t>
      </w:r>
    </w:p>
    <w:p w14:paraId="6C32B6C9">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8.2.4投标人可在投标文件中提供更优、更合理的维修服务承诺。</w:t>
      </w:r>
    </w:p>
    <w:p w14:paraId="3384A794">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8.3违约责任</w:t>
      </w:r>
    </w:p>
    <w:p w14:paraId="5FC63DE6">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8.3.1 因中标人原因造成合同无法按时签订的，视为中标人违约，并应承担因违约导致采购人的损失；合同签订后，中标人要求解除合同的，视为中标人违约，并应承担因违约造成的采购人的损失。</w:t>
      </w:r>
    </w:p>
    <w:p w14:paraId="42BBD73A">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8.3.2 本项目合同所有设备、材料的制造、安装及服务等均须由中标人承担，不得以任何名义和理由进行分包或转包。如有发现，视为中标人违约，采购人有权单方终止合同；对采购人造成损失的，还需另行支付相应赔偿。</w:t>
      </w:r>
    </w:p>
    <w:p w14:paraId="78CE967C">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8.3.3无法交货的违约责任</w:t>
      </w:r>
    </w:p>
    <w:p w14:paraId="734CB32D">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8.3.3.1除不可抗力外的中标人自身原因造成无法交货，则采购人有权认定中标人违约，采购人不予支付相应货物款项外，中标人还须向采购人额外支付违约金，违约金总额不超过合同总金额的30%（具体违约金由双方另行协商确定）。采购人有权视中标人违约情况向政府采购监管部门提起告诉。</w:t>
      </w:r>
    </w:p>
    <w:p w14:paraId="66F0D8C1">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8.3.3.2非因中标人自身原因造成无法交货的，则采购人不予支付相应货物的合同金额外，中标人还须向采购人额外支付违约金，违约金总额不超过合同总金额的5％。采购人有权视中标人违约情况向政府采购监管部门提起告诉。</w:t>
      </w:r>
    </w:p>
    <w:p w14:paraId="63412061">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8.3.4中标人应在本合同约定的期限内完成全部货物的供货及最终验收。若中标人未能按期供货的，每逾期一日，应按逾期交付货物对应货款的 0.1% 向采购人支付违约金，但该项违约金的总额不超过逾期交付货物对应货款的 3%；若中标人未能按期完成最终验收的，每逾期一日，应按逾期验收部分对应货款的 0.1% 向采购人支付违约金，但该项违约金的总额不超过逾期验收部分对应货款的 5%。</w:t>
      </w:r>
    </w:p>
    <w:p w14:paraId="04E787A7">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上述违约金，采购人有权从当期应付合同价款中直接扣除，亦可要求中标人将等额违约金足额支付至采购人指定的银行账户，中标人不得以任何理由拒绝或拖延支付。若上述逾期系因中标人自身原因所致，则采购人有权同时主张上述两项违约金；若非因中标人原因导致逾期的，经采购人书面确认后可免于承担相应违约责任。</w:t>
      </w:r>
    </w:p>
    <w:p w14:paraId="17D56F2F">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8.4知识产权</w:t>
      </w:r>
    </w:p>
    <w:p w14:paraId="14854482">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人须保障采购人在使用该货物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14:paraId="08BDDDEB">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8.5仲裁、诉讼条款</w:t>
      </w:r>
    </w:p>
    <w:p w14:paraId="16E1DCD9">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因采购或与采购合同有关的一切事项发生争议，由采购人和中标人双方友好协商解决。协商不成的，任何一方均可选择以下方式解决：</w:t>
      </w:r>
    </w:p>
    <w:p w14:paraId="192478B4">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（1）向采购人所在地仲裁委员会申请仲裁；</w:t>
      </w:r>
    </w:p>
    <w:p w14:paraId="4D9E3998">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（2）向采购人所在地的人民法院提起诉讼。</w:t>
      </w:r>
    </w:p>
    <w:p w14:paraId="163542D4">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仲裁或讼诉中标人败诉的，中标人须承担发生的责任与一切费用。如采购人因此而遭致损失的，中标人应赔偿该损失。</w:t>
      </w:r>
    </w:p>
    <w:p w14:paraId="3A045E46">
      <w:pPr>
        <w:pStyle w:val="7"/>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注：以上所有商务条件要求为不允许负偏离的要求，若有出现负偏离或未响应的按无效投标处理。</w:t>
      </w:r>
    </w:p>
    <w:p w14:paraId="4836FF24">
      <w:pPr>
        <w:pStyle w:val="7"/>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四、其他事项</w:t>
      </w:r>
    </w:p>
    <w:p w14:paraId="26797627">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1、除招标文件另有规定外，若出现有关法律、法规和规章有强制性规定但招标文件未列明的情形，则投标人应按照有关法律、法规和规章强制性规定执行。</w:t>
      </w:r>
    </w:p>
    <w:p w14:paraId="528FD0D5">
      <w:pPr>
        <w:pStyle w:val="7"/>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2、其他：无</w:t>
      </w:r>
    </w:p>
    <w:p w14:paraId="1C922D0E">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46FC68F">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第六章 政府采购合同</w:t>
      </w:r>
    </w:p>
    <w:p w14:paraId="1E1B4D75">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参考文本</w:t>
      </w:r>
    </w:p>
    <w:p w14:paraId="0631A6D4">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政府采购货物买卖合同</w:t>
      </w:r>
    </w:p>
    <w:p w14:paraId="7A1B1427">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（试行）</w:t>
      </w:r>
    </w:p>
    <w:p w14:paraId="3DDD4A5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项目名称： __________________________</w:t>
      </w:r>
    </w:p>
    <w:p w14:paraId="6A26169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合同编号： __________________________</w:t>
      </w:r>
    </w:p>
    <w:p w14:paraId="5164497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甲   方： __________________________</w:t>
      </w:r>
    </w:p>
    <w:p w14:paraId="0D44F75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乙   方：__________________________</w:t>
      </w:r>
    </w:p>
    <w:p w14:paraId="7922CC7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签订时间：__________________________</w:t>
      </w:r>
    </w:p>
    <w:p w14:paraId="6143F82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48E28AF3">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31698622">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使用说明</w:t>
      </w:r>
    </w:p>
    <w:p w14:paraId="2625646A">
      <w:pPr>
        <w:pStyle w:val="7"/>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1.本合同标准文本适用于购买现成货物的采购项目，不包括需要供应商定制开发、创新研发的货物采购项目。</w:t>
      </w:r>
    </w:p>
    <w:p w14:paraId="209805BB">
      <w:pPr>
        <w:pStyle w:val="7"/>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2.本合同标准文本为政府采购货物买卖合同编制提供参考，可以结合采购项目具体情况，对文本作必要的调整修订后使用。</w:t>
      </w:r>
    </w:p>
    <w:p w14:paraId="1DDEC902">
      <w:pPr>
        <w:pStyle w:val="7"/>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3.本合同标准文本各条款中，如涉及填写多家供应商、制造商，多种采购标的、分包主要内容等信息的，可根据采购项目具体情况添加信息项。</w:t>
      </w:r>
    </w:p>
    <w:p w14:paraId="60E0BDB3">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5EBEF678">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第一节 政府采购合同协议书</w:t>
      </w:r>
    </w:p>
    <w:p w14:paraId="4919CCA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甲方（全称）：___________________________（采购人、受采购人委托签订合同的单位或采购文件约定的合同甲方）</w:t>
      </w:r>
    </w:p>
    <w:p w14:paraId="1468630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乙方1（全称）：___________________________（供应商）</w:t>
      </w:r>
    </w:p>
    <w:p w14:paraId="0F5FB0B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乙方2（全称）：___________________________（联合体成员供应商或其他合同主体）（如有）</w:t>
      </w:r>
    </w:p>
    <w:p w14:paraId="63236C0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乙方3（全称）：___________________________（联合体成员供应商或其他合同主体）（如有）</w:t>
      </w:r>
    </w:p>
    <w:p w14:paraId="5293BB4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13C6055B">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1.项目信息</w:t>
      </w:r>
    </w:p>
    <w:p w14:paraId="4926028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(1)采购项目名称：___________________________</w:t>
      </w:r>
    </w:p>
    <w:p w14:paraId="4771031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采购项目编号：____________________________</w:t>
      </w:r>
    </w:p>
    <w:p w14:paraId="7167F22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(2)采购计划编号：___________________________</w:t>
      </w:r>
    </w:p>
    <w:p w14:paraId="32F7439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(3)项目内容：</w:t>
      </w:r>
    </w:p>
    <w:p w14:paraId="38A9159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采购标的及数量（台/套/个/架/组等）：___________________</w:t>
      </w:r>
    </w:p>
    <w:p w14:paraId="33E8DB8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 ___________________ 规格型号：___________________</w:t>
      </w:r>
    </w:p>
    <w:p w14:paraId="5BBF91A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采购标的的技术要求、商务要求具体见附件。</w:t>
      </w:r>
    </w:p>
    <w:p w14:paraId="5F60944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①涉及信息类产品，请填写该产品关键部件的品牌、型号：</w:t>
      </w:r>
    </w:p>
    <w:p w14:paraId="041CBC3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 ___________________</w:t>
      </w:r>
    </w:p>
    <w:p w14:paraId="0390780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488E35E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107598A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53835B6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（注：关键部件是指财政部会同有关部门发布的政府采购需求标准规定的需要通过国家有关部门指定的测评机构开展的安全可靠测评的软硬件，如CPU芯片、操作系统、数据库等。）</w:t>
      </w:r>
    </w:p>
    <w:p w14:paraId="084C3C4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②涉及车辆采购，请填写是否属于新能源汽车：</w:t>
      </w:r>
    </w:p>
    <w:p w14:paraId="6717FEC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数量：__________  金额：__________</w:t>
      </w:r>
    </w:p>
    <w:p w14:paraId="1023E1C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63A76CF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(4)政府采购组织形式：政府集中采购 部门集中采购 分散采购</w:t>
      </w:r>
    </w:p>
    <w:p w14:paraId="3E1074C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(5)政府采购方式：公开招标 邀请招标 竞争性谈判 竞争性磋商询价 单一来源 框架协议 其他：____________________</w:t>
      </w:r>
    </w:p>
    <w:p w14:paraId="72699B7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(6)中标（成交）采购标的制造商是否为中小企业：是否</w:t>
      </w:r>
    </w:p>
    <w:p w14:paraId="7345B16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本合同是否为专门面向中小企业的采购合同（中小企业预留合同）：是否</w:t>
      </w:r>
    </w:p>
    <w:p w14:paraId="14204CD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若本项目不专门面向中小企业采购，是否给予小微企业评审优惠：是否</w:t>
      </w:r>
    </w:p>
    <w:p w14:paraId="41BB07C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中标（成交）采购标的制造商是否为残疾人福利性单位：是否</w:t>
      </w:r>
    </w:p>
    <w:p w14:paraId="5FDACBF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中标（成交）采购标的制造商是否为监狱企业：是否</w:t>
      </w:r>
    </w:p>
    <w:p w14:paraId="7BEE9BD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(7)合同是否分包：是否</w:t>
      </w:r>
    </w:p>
    <w:p w14:paraId="61BF2D0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分包主要内容：________________________________________</w:t>
      </w:r>
    </w:p>
    <w:p w14:paraId="71376D5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分包供应商/制造商名称（如供应商和制造商不同，请分别填写）：</w:t>
      </w:r>
    </w:p>
    <w:p w14:paraId="305C457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________________________________________</w:t>
      </w:r>
    </w:p>
    <w:p w14:paraId="79C30E8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分包供应商/制造商类型（如果供应商和制造商不同，只填写制造商类型）：</w:t>
      </w:r>
    </w:p>
    <w:p w14:paraId="7144BBC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大型企业中型企业小微型企业</w:t>
      </w:r>
    </w:p>
    <w:p w14:paraId="37C7DC7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残疾人福利性单位监狱企业其他</w:t>
      </w:r>
    </w:p>
    <w:p w14:paraId="7EC8241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(8)中标（成交）供应商是否为外商投资企业：是否</w:t>
      </w:r>
    </w:p>
    <w:p w14:paraId="41DEAEE3">
      <w:pPr>
        <w:pStyle w:val="7"/>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外商投资企业类型：全部由外国投资者投资部分由外国投资者投资</w:t>
      </w:r>
    </w:p>
    <w:p w14:paraId="7D30A3E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（9）是否涉及进口产品：</w:t>
      </w:r>
    </w:p>
    <w:p w14:paraId="2BA1A57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金额：__________</w:t>
      </w:r>
    </w:p>
    <w:p w14:paraId="2F5445BA">
      <w:pPr>
        <w:pStyle w:val="7"/>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国别：__________  品牌：__________  规格型号__________</w:t>
      </w:r>
    </w:p>
    <w:p w14:paraId="3F1C34B7">
      <w:pPr>
        <w:pStyle w:val="7"/>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F0B15A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（10）是否涉及节能产品：</w:t>
      </w:r>
    </w:p>
    <w:p w14:paraId="33EAFB7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是，《节能产品政府采购品目清单》的底级品目名称：__________</w:t>
      </w:r>
    </w:p>
    <w:p w14:paraId="2DE1EC08">
      <w:pPr>
        <w:pStyle w:val="7"/>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7A0282D2">
      <w:pPr>
        <w:pStyle w:val="7"/>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71AB9FE9">
      <w:pPr>
        <w:pStyle w:val="7"/>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是否涉及环境标志产品：</w:t>
      </w:r>
    </w:p>
    <w:p w14:paraId="17C1048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是，《环境标志产品政府采购品目清单》的底级品目名称：__________</w:t>
      </w:r>
    </w:p>
    <w:p w14:paraId="2DF27E60">
      <w:pPr>
        <w:pStyle w:val="7"/>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167D1F85">
      <w:pPr>
        <w:pStyle w:val="7"/>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61071F9A">
      <w:pPr>
        <w:pStyle w:val="7"/>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是否涉及绿色产品：</w:t>
      </w:r>
    </w:p>
    <w:p w14:paraId="447E84A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是，绿色产品政府采购相关政策确定的底级品目名称：__________</w:t>
      </w:r>
    </w:p>
    <w:p w14:paraId="74CFF9EE">
      <w:pPr>
        <w:pStyle w:val="7"/>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4E5795EE">
      <w:pPr>
        <w:pStyle w:val="7"/>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3FC5922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(11)涉及商品包装和快递包装的，是否参考《商品包装政府采购需求标准（试行）》、《快递包装政府采购需求标准（试行）》明确产品及相关快递服务的具体包装要求：</w:t>
      </w:r>
    </w:p>
    <w:p w14:paraId="6E65DAC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         否        不涉及</w:t>
      </w:r>
    </w:p>
    <w:p w14:paraId="388A5A25">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2.合同金额</w:t>
      </w:r>
    </w:p>
    <w:p w14:paraId="5948AEE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（1）合同金额小写：____________________</w:t>
      </w:r>
    </w:p>
    <w:p w14:paraId="5CA2EAED">
      <w:pPr>
        <w:pStyle w:val="7"/>
        <w:spacing w:line="360" w:lineRule="auto"/>
        <w:ind w:firstLine="19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4A44A3E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分包金额（如有）小写：____________________</w:t>
      </w:r>
    </w:p>
    <w:p w14:paraId="2ED82359">
      <w:pPr>
        <w:pStyle w:val="7"/>
        <w:spacing w:line="360" w:lineRule="auto"/>
        <w:ind w:firstLine="282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65B5B2A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（注：固定单价合同应填写单价和最高限价）</w:t>
      </w:r>
    </w:p>
    <w:p w14:paraId="42D2DD1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（2）合同定价方式（采用组合定价方式的，可以勾选多项）：</w:t>
      </w:r>
    </w:p>
    <w:p w14:paraId="1822E31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固定总价固定单价成本补偿绩效激励其他__________</w:t>
      </w:r>
    </w:p>
    <w:p w14:paraId="6E7798C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（3）付款方式（按项目实际勾选填写）：</w:t>
      </w:r>
    </w:p>
    <w:p w14:paraId="1B229D9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全额付款：_______（应明确一次性支付合同款项的条件）_____________</w:t>
      </w:r>
    </w:p>
    <w:p w14:paraId="6B57BBA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分期付款：_______（应明确分期支付合同款项的各期比例和支付条件，各期支付条件应与分期履约验收情况挂钩）_____________，其中涉及预付款的：_______ （应明确预付款的支付比例和支付条件）</w:t>
      </w:r>
    </w:p>
    <w:p w14:paraId="230B061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成本补偿：_______（应明确按照成本补偿方式的支付方式和支付条件）___________</w:t>
      </w:r>
    </w:p>
    <w:p w14:paraId="30C1CB6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绩效激励：_______（应明确按照绩效激励方式的支付方式和支付条件）_________</w:t>
      </w:r>
    </w:p>
    <w:p w14:paraId="75B1D953">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3.合同履行</w:t>
      </w:r>
    </w:p>
    <w:p w14:paraId="5EB4B7C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（1）起始日期：____________________年____________________月 ____________________日 ，完成日期：____________________年____________________月____________________日。</w:t>
      </w:r>
    </w:p>
    <w:p w14:paraId="1746403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（2）履约地点：____________________</w:t>
      </w:r>
    </w:p>
    <w:p w14:paraId="325DFD7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（3）履约担保：</w:t>
      </w:r>
    </w:p>
    <w:p w14:paraId="682F462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是否收取履约保证金：是 否</w:t>
      </w:r>
    </w:p>
    <w:p w14:paraId="042FADA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收取履约保证金形式：____________________</w:t>
      </w:r>
    </w:p>
    <w:p w14:paraId="4082361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收取履约保证金金额：____________________</w:t>
      </w:r>
    </w:p>
    <w:p w14:paraId="4E72C3B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1C84F166">
      <w:pPr>
        <w:pStyle w:val="7"/>
        <w:spacing w:line="360" w:lineRule="auto"/>
        <w:ind w:firstLine="51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34F5155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（4）分期履行要求：____________________</w:t>
      </w:r>
    </w:p>
    <w:p w14:paraId="4E8371C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（5）风险处置措施和替代方案：____________________</w:t>
      </w:r>
    </w:p>
    <w:p w14:paraId="44DA19F1">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4.合同验收</w:t>
      </w:r>
    </w:p>
    <w:p w14:paraId="27BA3BE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（1）验收组织方式：自行验收委托第三方验收</w:t>
      </w:r>
    </w:p>
    <w:p w14:paraId="19D99EB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验收主体：____________________</w:t>
      </w:r>
    </w:p>
    <w:p w14:paraId="192C745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是否邀请本项目的其他供应商参加验收：是否</w:t>
      </w:r>
    </w:p>
    <w:p w14:paraId="67EEFA7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是否邀请专家参加验收：是否</w:t>
      </w:r>
    </w:p>
    <w:p w14:paraId="7908B6C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是否邀请服务对象参加验收：是否</w:t>
      </w:r>
    </w:p>
    <w:p w14:paraId="574CE9E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是否邀请第三方检测机构参加验收：是否</w:t>
      </w:r>
    </w:p>
    <w:p w14:paraId="4ED8B9A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是否进行抽查检测： 是，抽查比例：__________%否</w:t>
      </w:r>
    </w:p>
    <w:p w14:paraId="174EB80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是否存在破坏性检测： 是，__________否</w:t>
      </w:r>
    </w:p>
    <w:p w14:paraId="4AE3DF8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验收组织的其他事项：____________________</w:t>
      </w:r>
    </w:p>
    <w:p w14:paraId="47E5A60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（2）履约验收时间：计划于何时验收/供应商提出验收申请之日起_______日内组织验收</w:t>
      </w:r>
    </w:p>
    <w:p w14:paraId="125A679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（3）履约验收方式：一次性验收分期/分项验收：__________</w:t>
      </w:r>
    </w:p>
    <w:p w14:paraId="4343B73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（4）履约验收程序：____________________</w:t>
      </w:r>
    </w:p>
    <w:p w14:paraId="0BB4397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（5）履约验收的内容：_________（应当包括每一项技术和商务要求的履约情况，特别是落实政府采购扶持中小企业，支持绿色发展和乡村振兴等政策情况）___________</w:t>
      </w:r>
    </w:p>
    <w:p w14:paraId="2EFED18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（6）履约验收标准：_____________________________</w:t>
      </w:r>
    </w:p>
    <w:p w14:paraId="659909B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（7）是否以采购活动中供应商提供的样品作为参考：是否</w:t>
      </w:r>
    </w:p>
    <w:p w14:paraId="45F326F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（8）履约验收其他事项：_______________</w:t>
      </w:r>
    </w:p>
    <w:p w14:paraId="5902EB16">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5.组成合同的文件</w:t>
      </w:r>
    </w:p>
    <w:p w14:paraId="5C7D1FF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本协议书与下列文件一起构成合同文件，如下述文件之间有任何抵触、矛盾或歧义，应按以下顺序解释：</w:t>
      </w:r>
    </w:p>
    <w:p w14:paraId="6C73BC3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（1）政府采购合同协议书及其变更、补充协议</w:t>
      </w:r>
    </w:p>
    <w:p w14:paraId="3F010B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（2）政府采购合同专用条款</w:t>
      </w:r>
    </w:p>
    <w:p w14:paraId="3F74D2A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（3）政府采购合同通用条款</w:t>
      </w:r>
    </w:p>
    <w:p w14:paraId="6964623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（4）中标（成交）通知书</w:t>
      </w:r>
    </w:p>
    <w:p w14:paraId="5BEDF74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（5）投标（响应）文件</w:t>
      </w:r>
    </w:p>
    <w:p w14:paraId="0C9F1CA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（6）采购文件</w:t>
      </w:r>
    </w:p>
    <w:p w14:paraId="14BDFB9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（7）有关技术文件，图纸</w:t>
      </w:r>
    </w:p>
    <w:p w14:paraId="6531BBD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（8）国家法律、行政法规和规章制度规定或合同约定的作为合同组成部分的其他文件</w:t>
      </w:r>
    </w:p>
    <w:p w14:paraId="7222AA5C">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6.合同生效</w:t>
      </w:r>
    </w:p>
    <w:p w14:paraId="3AA849F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本合同自____________________生效。</w:t>
      </w:r>
    </w:p>
    <w:p w14:paraId="2F74F7E4">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7.合同份数</w:t>
      </w:r>
    </w:p>
    <w:p w14:paraId="7EE561E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本合同一式 _______ 份，甲方执 _______ 份，乙方执 _______ 份，均具有 法律效力。</w:t>
      </w:r>
    </w:p>
    <w:p w14:paraId="1CC6120E">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8.合同融资支付约定</w:t>
      </w:r>
    </w:p>
    <w:p w14:paraId="7A501A5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8.1本合同已用于政府采购合同融资，为本项目提供合同融资的金融机构为：______，本合同项下所有款项，甲方须支付至本合同约定的乙方账号，未经_______书面同意，不得变更账号。</w:t>
      </w:r>
    </w:p>
    <w:p w14:paraId="153BF9F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5EBE3C7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4F1A694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合同订立地点： ____________________________</w:t>
      </w:r>
    </w:p>
    <w:p w14:paraId="26F9D49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附件：具体标的及其技术要求和商务要求、联合协议、分包意向协议等。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406E5FE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甲方（采购人、受采购人委托签订合同的单位或采购文件约定的合同甲方）</w:t>
      </w:r>
    </w:p>
    <w:p w14:paraId="73AF95C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单位名称（公章或合同章）： {{未填写}}（盖章）</w:t>
      </w:r>
    </w:p>
    <w:p w14:paraId="458860F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法定代表人或其委托代理人（签章）：{{未填写}}</w:t>
      </w:r>
    </w:p>
    <w:p w14:paraId="7894E61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住 所：{{未填写}}</w:t>
      </w:r>
    </w:p>
    <w:p w14:paraId="219EAF4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 系 人：{{未填写}}</w:t>
      </w:r>
    </w:p>
    <w:p w14:paraId="5A00290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联系电话：{{未填写}}</w:t>
      </w:r>
    </w:p>
    <w:p w14:paraId="551DF48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通信地址：{{未填写}}</w:t>
      </w:r>
    </w:p>
    <w:p w14:paraId="0793309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邮政编码：{{未填写}}</w:t>
      </w:r>
    </w:p>
    <w:p w14:paraId="5D79198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电子邮箱：{{未填写}}</w:t>
      </w:r>
    </w:p>
    <w:p w14:paraId="56C22EE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统一社会信用代码：{{未填写}}</w:t>
      </w:r>
    </w:p>
    <w:p w14:paraId="0EFD74A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01640CE1">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7ECAD124">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第二节 政府采购合同通用条款</w:t>
      </w:r>
    </w:p>
    <w:p w14:paraId="43639593">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 定义</w:t>
      </w:r>
    </w:p>
    <w:p w14:paraId="3683175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1.1合同当事人</w:t>
      </w:r>
    </w:p>
    <w:p w14:paraId="62340DA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（1）采购人（以下称甲方）是指使用财政性资金，通过政府采购方式向供应商购买货物及其相关服务的国家机关、事业单位、团体组织。</w:t>
      </w:r>
    </w:p>
    <w:p w14:paraId="13C6362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（2）供应商（以下称乙方）是指参加政府采购活动并且中标（成交），向采购人提供合同约定的货物及其相关服务的法人、非法人组织或者自然人。</w:t>
      </w:r>
    </w:p>
    <w:p w14:paraId="7B364D2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（3）其他合同主体是指除采购人和供应商以外，依法参与合同缔结或履行，享有权利、承担义务的合同当事人。</w:t>
      </w:r>
    </w:p>
    <w:p w14:paraId="4FF4CC7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1.2本合同下列术语应解释为：</w:t>
      </w:r>
    </w:p>
    <w:p w14:paraId="7B71501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ACAD85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（2）“合同价款”系指根据本合同规定乙方在全面履行合同义务后甲方应支付给乙方的价款。</w:t>
      </w:r>
    </w:p>
    <w:p w14:paraId="0164800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（3）“货物”系指乙方根据本合同规定须向甲方提供的各种形态和种类的物品，包括原材料、设备、产品（包括软件）及相关的其备品备件、工具、手册及其他技术资料和材料等。</w:t>
      </w:r>
    </w:p>
    <w:p w14:paraId="1A6CFE5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10FBE38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（5）“分包”系指中标（成交）供应商按采购文件、投标（响应）文件的规定，根据分包意向协议，将中标（成交）项目中的部分履约内容，分给具有相应资质条件的供应商履行合同的行为。</w:t>
      </w:r>
    </w:p>
    <w:p w14:paraId="6C28227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2376A7E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（7）其他术语解释，见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3AD4B856">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2.合同标的及金额</w:t>
      </w:r>
    </w:p>
    <w:p w14:paraId="1E24B75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 合同标的及金额应与中标（成交）结果一致。乙方为履行本合同而发生的所有费用均应包含在合同价款中，甲方不再另行支付其他任何费用。</w:t>
      </w:r>
    </w:p>
    <w:p w14:paraId="1A277371">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 履行合同的时间、地点和方式</w:t>
      </w:r>
    </w:p>
    <w:p w14:paraId="1FD19D8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 乙方应当在约定的时间、地点，按照约定方式履行合同。</w:t>
      </w:r>
    </w:p>
    <w:p w14:paraId="73E7BDC6">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 甲方的权利和义务</w:t>
      </w:r>
    </w:p>
    <w:p w14:paraId="14DE893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4.1 签署合同后，甲方应确定项目负责人（或项目联系人），负责与本合同有关的事务。甲方有权对乙方的履约行为进行检查，并及时确认乙方提交的事项。甲方应当配合乙方完成相关项目实施工作。</w:t>
      </w:r>
    </w:p>
    <w:p w14:paraId="5688FCB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4.2 甲方有权要求乙方按时提交各阶段有关安排计划，并有权定期核对乙方提供货物数量、规格、质量等内容。甲方有权督促乙方工作并要求乙方更换不符合要求的货物。</w:t>
      </w:r>
    </w:p>
    <w:p w14:paraId="6EF0899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4.3 甲方有权要求乙方对缺陷部分予以修复，并按合同约定享有货物保修及其他合同约定的权利。</w:t>
      </w:r>
    </w:p>
    <w:p w14:paraId="616D6A9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4.4 甲方应当按照合同约定及时对交付的货物进行验收，未在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约定的期限内对乙方履约提出任何异议或者向乙方作出任何说明的，视为验收通过。</w:t>
      </w:r>
    </w:p>
    <w:p w14:paraId="428297F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4.5 甲方应当根据合同约定及时向乙方支付合同价款，不得以内部人员变更、履行内部付款流程等为由，拒绝或迟延支付。</w:t>
      </w:r>
    </w:p>
    <w:p w14:paraId="17621A4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4.6 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约定应由甲方承担的其他义务和责任。</w:t>
      </w:r>
    </w:p>
    <w:p w14:paraId="46378122">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 乙方的权利和义务</w:t>
      </w:r>
    </w:p>
    <w:p w14:paraId="1B456CE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5.1 签署合同后，乙方应确定项目负责人（或项目联系人），负责与本合同有关的事务。</w:t>
      </w:r>
    </w:p>
    <w:p w14:paraId="052B070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794075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5.3乙方有权根据合同约定向甲方收取合同价款。</w:t>
      </w:r>
    </w:p>
    <w:p w14:paraId="30AF8A5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5.4国家法律法规规定及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约定应由乙方承担的其他义务和责任。</w:t>
      </w:r>
    </w:p>
    <w:p w14:paraId="44C4B592">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6.合同履行</w:t>
      </w:r>
    </w:p>
    <w:p w14:paraId="634BF61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6.1 甲乙双方应当按照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约定顺序履行合同义务；如果没有先后顺序的，应当同时履行。</w:t>
      </w:r>
    </w:p>
    <w:p w14:paraId="3D335BD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6.2 甲乙双方按照合同约定顺序履行合同义务时，应当先履行一方未履行的，后履行一方有权拒绝其履行请求。先履行一方履行不符合约定的，后履行一方有权拒绝其相应的履行请求。</w:t>
      </w:r>
    </w:p>
    <w:p w14:paraId="5046BE09">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 货物包装、运输、保险和交付要求</w:t>
      </w:r>
    </w:p>
    <w:p w14:paraId="063E668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7.1 本合同涉及商品包装、快递包装的，除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另有约定外，包装应适应远距离运输、防潮、防震、防锈和防野蛮装卸等要求，确保货物安全无损地运抵</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约定的指定现场。</w:t>
      </w:r>
    </w:p>
    <w:p w14:paraId="3219E78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7.2 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另有约定外，乙方负责办理将货物运抵本合同规定的交货地点，并装卸、交付至甲方的一切运输事项，相关费用应包含在合同价款中。</w:t>
      </w:r>
    </w:p>
    <w:p w14:paraId="5F478D0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7.3 货物保险要求按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662728B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F76F9C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7.5 乙方在运输到达之前应提前通知甲方，并提示货物运输装卸的注意事项，甲方配合乙方做好货物的接收工作。</w:t>
      </w:r>
    </w:p>
    <w:p w14:paraId="1FB6E47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7.6 如因包装、运输问题导致货物损毁、丢失或者品质下降，甲方有权要求降价、换货、拒收部分或整批货物，由此产生的费用和损失，均由乙方承担。</w:t>
      </w:r>
    </w:p>
    <w:p w14:paraId="31957E95">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 质量标准和保证</w:t>
      </w:r>
    </w:p>
    <w:p w14:paraId="589976D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8.1 质量标准</w:t>
      </w:r>
    </w:p>
    <w:p w14:paraId="02A1CBF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3AECE8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（2）采用中华人民共和国法定计量单位。</w:t>
      </w:r>
    </w:p>
    <w:p w14:paraId="3F42CA0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（3）乙方所提供的货物应符合国家有关安全、环保、卫生的规定。</w:t>
      </w:r>
    </w:p>
    <w:p w14:paraId="0F2B374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（4）乙方应向甲方提交所提供货物的技术文件，包括相应的中文技术文件，如：产品目录、图纸、操作手册、使用说明、维护手册或服务指南等。上述文件应包装好随货物一同发运。</w:t>
      </w:r>
    </w:p>
    <w:p w14:paraId="7B398BA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8.2 保证</w:t>
      </w:r>
    </w:p>
    <w:p w14:paraId="69225D5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1E9C756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（2）在质量保证期内所发现的缺陷，甲方应尽快以书面形式通知乙方。</w:t>
      </w:r>
    </w:p>
    <w:p w14:paraId="6D0FEF1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（3）乙方收到通知后，应在【政府采购合同专用条款】规定的响应时间内以合理的速度免费维修或更换有缺陷的货物或部件。</w:t>
      </w:r>
    </w:p>
    <w:p w14:paraId="5E911B8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（4）在质量保证期内，如果货物的质量或规格与合同不符，或证实货物是有缺陷的，包括潜在的缺陷或使用不符合要求的材料等，甲方可以根据本合同第15.1条规定以书面形式追究乙方的违约责任。</w:t>
      </w:r>
    </w:p>
    <w:p w14:paraId="382FD63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（5）乙方在约定的时间内未能弥补缺陷，甲方可采取必要的补救措施，但其风险和费用将由乙方承担，甲方根据合同约定对乙方行使的其他权利不受影响。</w:t>
      </w:r>
    </w:p>
    <w:p w14:paraId="72BAD5E6">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9. 权利瑕疵担保</w:t>
      </w:r>
    </w:p>
    <w:p w14:paraId="1EEF5B9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9.1 乙方保证对其出售的货物享有合法的权利。</w:t>
      </w:r>
    </w:p>
    <w:p w14:paraId="54FA108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9.2 乙方保证在交付的货物上不存在抵押权等担保物权。</w:t>
      </w:r>
    </w:p>
    <w:p w14:paraId="3207A21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9.3 如甲方使用上述货物构成对第三人侵权的，则由乙方承担全部责任。</w:t>
      </w:r>
    </w:p>
    <w:p w14:paraId="7E501F6D">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10. 知识产权保护</w:t>
      </w:r>
    </w:p>
    <w:p w14:paraId="041F9B6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203AE8AA">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11. 保密义务</w:t>
      </w:r>
    </w:p>
    <w:p w14:paraId="5EC797B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088A23C2">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12. 合同价款支付</w:t>
      </w:r>
    </w:p>
    <w:p w14:paraId="476A138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12.1 合同价款支付按照国库集中支付制度及财政管理相关规定执行。</w:t>
      </w:r>
    </w:p>
    <w:p w14:paraId="16ABB87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5ACB5E9A">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13. 履约保证金</w:t>
      </w:r>
    </w:p>
    <w:p w14:paraId="5DD9B93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13.1 乙方应当以支票、汇票、本票或者金融机构、担保机构出具的保函等非现金形式提交。</w:t>
      </w:r>
    </w:p>
    <w:p w14:paraId="1AA7EC3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13.2 如果乙方出现</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约定情形的，履约保证金不予退还；如果乙方未能按合同约定全面履行义务，甲方有权从履约保证金中取得补偿或赔偿，且不影响甲方要求乙方承担合同约定的超过履约保证金的违约责任的权利。</w:t>
      </w:r>
    </w:p>
    <w:p w14:paraId="65FF6B0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13.3 甲方在项目通过验收后按照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规定的时间内将履约保证金退还乙方；逾期退还的，乙方可要求甲方支付违约金，违约金按照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规定支付。</w:t>
      </w:r>
    </w:p>
    <w:p w14:paraId="19D1B874">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14. 售后服务</w:t>
      </w:r>
    </w:p>
    <w:p w14:paraId="3F1095A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14.1 除项目不涉及或采购活动中明确约定无须承担外，乙方还应提供下列服务：</w:t>
      </w:r>
    </w:p>
    <w:p w14:paraId="05AFA9B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（1）货物的现场移动、安装、调试、启动监督及技术支持；</w:t>
      </w:r>
    </w:p>
    <w:p w14:paraId="549BCF0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（2）提供货物组装和维修所需的专用工具和辅助材料；</w:t>
      </w:r>
    </w:p>
    <w:p w14:paraId="32E8FE0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约定的期限内对所有的货物实施运行监督、维修，但前提条件是该服务并不能免除乙方在质量保证期内所承担的义务；</w:t>
      </w:r>
    </w:p>
    <w:p w14:paraId="79476C3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（4）在制造商所在地或指定现场就货物的安装、启动、运营、维护、废弃处置等对甲方操作人员进行培训；</w:t>
      </w:r>
    </w:p>
    <w:p w14:paraId="430C664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（5）依照法律、行政法规的规定或者按照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约定，货物在有效使用年限届满后应予回收的，乙方负有自行或者委托第三人对货物予以回收的义务；</w:t>
      </w:r>
    </w:p>
    <w:p w14:paraId="5E25B71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规定由乙方提供的其他服务。</w:t>
      </w:r>
    </w:p>
    <w:p w14:paraId="64931D1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14.2 乙方提供的售后服务的费用已包含在合同价款中，甲方不再另行支付。</w:t>
      </w:r>
    </w:p>
    <w:p w14:paraId="749FF6EA">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15. 违约责任</w:t>
      </w:r>
    </w:p>
    <w:p w14:paraId="679EE94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15.1质量瑕疵的违约责任</w:t>
      </w:r>
    </w:p>
    <w:p w14:paraId="7911D4D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乙方提供的产品不符合合同约定的质量标准或存在产品质量缺陷，甲方有权要求乙方根据</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要求及时修理、重作、更换，并承担由此给甲方造成的损失。</w:t>
      </w:r>
    </w:p>
    <w:p w14:paraId="60F986F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15.2 迟延交货的违约责任</w:t>
      </w:r>
    </w:p>
    <w:p w14:paraId="6D52398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4B7B29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（2）如果乙方没有按照合同规定的时间交货和提供相关服务，甲方有权从货款中扣除误期赔偿费而不影响合同项下的其他补救方法，赔偿费按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规定执行。如果涉及公共利益，且赔偿金额无法弥补公共利益损失，甲方可要求继续履行或者采取其他补救措施。</w:t>
      </w:r>
    </w:p>
    <w:p w14:paraId="6BE7D23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15.3 迟延支付的违约责任</w:t>
      </w:r>
    </w:p>
    <w:p w14:paraId="0476171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甲方存在迟延支付乙方合同款项的，应当承担</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规定的逾期付款利息。</w:t>
      </w:r>
    </w:p>
    <w:p w14:paraId="39D2587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15.4其他违约责任根据项目实际需要按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07DD2782">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16.合同变更、中止与终止</w:t>
      </w:r>
    </w:p>
    <w:p w14:paraId="0CA3F3A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16.1合同的变更</w:t>
      </w:r>
    </w:p>
    <w:p w14:paraId="33BA0B2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政府采购合同履行中，在不改变合同其他条款的前提下，甲方可以在合同价款10%的范围内追加与合同标的相同的货物，并就此与乙方协商一致后签订补充协议。</w:t>
      </w:r>
    </w:p>
    <w:p w14:paraId="2C1CE76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16.2合同的中止</w:t>
      </w:r>
    </w:p>
    <w:p w14:paraId="0E12313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（1）合同履行过程中因供应商就采购文件、采购过程或结果提起投诉的，甲方认为有必要的，可以中止合同的履行。</w:t>
      </w:r>
    </w:p>
    <w:p w14:paraId="3ECF278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475CAA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（3）乙方分立、合并或者变更住所的，应当及时以书面形式告知甲方。乙方没有及时告知甲方，致使合同履行发生困难的，甲方可以中止合同履行并要求乙方承担由此给甲方造成的损失。</w:t>
      </w:r>
    </w:p>
    <w:p w14:paraId="0D78ACB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（4）甲方不得以行政区划调整、政府换届、机构或者职能调整以及相关责任人更替为由中止合同。</w:t>
      </w:r>
    </w:p>
    <w:p w14:paraId="56FF2C2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16.3合同的终止</w:t>
      </w:r>
    </w:p>
    <w:p w14:paraId="6709D75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（1）合同因有效期限届满而终止；</w:t>
      </w:r>
    </w:p>
    <w:p w14:paraId="145EA89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（2）乙方未按合同约定履行，构成根本性违约的，甲方有权终止合同，并追究乙方的违约责任。</w:t>
      </w:r>
    </w:p>
    <w:p w14:paraId="692BCC2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16.4 涉及国家利益、社会公共利益的情形</w:t>
      </w:r>
    </w:p>
    <w:p w14:paraId="239E93C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政府采购合同继续履行将损害国家利益和社会公共利益的，双方当事人应当变更、中止或者终止合同。有过错的一方应当承担赔偿责任，双方都有过错的，各自承担相应的责任。</w:t>
      </w:r>
    </w:p>
    <w:p w14:paraId="29C930C2">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17. 合同分包</w:t>
      </w:r>
    </w:p>
    <w:p w14:paraId="3DB945C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 乙方不得将合同转包给其他供应商。涉及合同分包的，乙方应根据采购文件和投标（响应）文件规定进行合同分包。</w:t>
      </w:r>
    </w:p>
    <w:p w14:paraId="41DFA03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17.2 乙方执行政府采购政策向中小企业依法分包的，乙方应当按采购文件和投标（响应）文件签订分包意向协议，分包意向协议属于本合同组成部分。</w:t>
      </w:r>
    </w:p>
    <w:p w14:paraId="584C9DAC">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18. 不可抗力</w:t>
      </w:r>
    </w:p>
    <w:p w14:paraId="2B2D2C7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18.1 不可抗力是指合同双方不能预见、不能避免且不能克服的客观情况。</w:t>
      </w:r>
    </w:p>
    <w:p w14:paraId="6BB0EB5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18.2 任何一方对由于不可抗力造成的部分或全部不能履行合同不承担违约责任。但迟延履行后发生不可抗力的，不能免除责任。</w:t>
      </w:r>
    </w:p>
    <w:p w14:paraId="3E7B511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E056CCA">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19. 解决争议的方法</w:t>
      </w:r>
    </w:p>
    <w:p w14:paraId="7B32412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19.1 因本合同及合同有关事项发生的争议，由甲乙双方友好协商解决。协商不成时，可以向有关组织申请调解。合同一方或双方不愿调解或调解不成的，可以通过仲裁或诉讼的方式解决争议。</w:t>
      </w:r>
    </w:p>
    <w:p w14:paraId="4246F3D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19.2 选择仲裁的，应在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中明确仲裁机构及仲裁地；通过诉讼方式解决的，可以在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中进一步约定选择与争议有实际联系的地点的人民法院管辖，但管辖法院的约定不得违反级别管辖和专属管辖的规定。</w:t>
      </w:r>
    </w:p>
    <w:p w14:paraId="023A4C3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19.3 如甲乙双方有争议的事项不影响合同其他部分的履行，在争议解决期间，合同其他部分应当继续履行。</w:t>
      </w:r>
    </w:p>
    <w:p w14:paraId="5A8686CB">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20. 政府采购政策</w:t>
      </w:r>
    </w:p>
    <w:p w14:paraId="783BEA1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20.1 本合同应当按照规定执行政府采购政策。</w:t>
      </w:r>
    </w:p>
    <w:p w14:paraId="4D86338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3537378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9E94487">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21. 法律适用</w:t>
      </w:r>
    </w:p>
    <w:p w14:paraId="47603D8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21.1 本合同的订立、生效、解释、履行及与本合同有关的争议解决，均适用法律、行政法规。</w:t>
      </w:r>
    </w:p>
    <w:p w14:paraId="1DF000D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21.2 本合同条款与法律、行政法规的强制性规定不一致的，双方当事人应按照法律、行政法规的强制性规定修改本合同的相关条款。</w:t>
      </w:r>
    </w:p>
    <w:p w14:paraId="5BB744D0">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22. 通知</w:t>
      </w:r>
    </w:p>
    <w:p w14:paraId="3B152FB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22.1 本合同任何一方向对方发出的通知、信件、数据电文等，应当发送至本合同第一部分《政府采购合同协议书》所约定的通讯地址、联系人、联系电话或电子邮箱。</w:t>
      </w:r>
    </w:p>
    <w:p w14:paraId="141C560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22.2 一方当事人变更名称、住所、联系人、联系电话或电子邮箱等信息的，应当在变更后3日内及时书面通知对方，对方实际收到变更通知前的送达仍为有效送达。</w:t>
      </w:r>
    </w:p>
    <w:p w14:paraId="3F6CEB0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22.3本合同一方给另一方的通知均应采用书面形式，传真或快递送到本合同中规定的对方的地址和办理签收手续。</w:t>
      </w:r>
    </w:p>
    <w:p w14:paraId="6164DF4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22.4通知以送达之日或通知书中规定的生效之日起生效，两者中以较迟之日为准。</w:t>
      </w:r>
    </w:p>
    <w:p w14:paraId="1944B477">
      <w:pPr>
        <w:pStyle w:val="7"/>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23.合同未尽事项</w:t>
      </w:r>
    </w:p>
    <w:p w14:paraId="2B35F65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23.1合同未尽事项见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1514437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23.2 合同附件与合同正文具有同等的法律效力。</w:t>
      </w:r>
    </w:p>
    <w:p w14:paraId="73E8F6AD">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第三节 政府采购合同专用条款</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283"/>
        <w:gridCol w:w="3283"/>
        <w:gridCol w:w="3284"/>
      </w:tblGrid>
      <w:tr w14:paraId="53A1A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0747F1A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第1.2（6）项</w:t>
            </w:r>
          </w:p>
        </w:tc>
        <w:tc>
          <w:tcPr>
            <w:tcW w:w="1666" w:type="pct"/>
          </w:tcPr>
          <w:p w14:paraId="1D0B7AE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联合体具体要求</w:t>
            </w:r>
          </w:p>
        </w:tc>
        <w:tc>
          <w:tcPr>
            <w:tcW w:w="1666" w:type="pct"/>
          </w:tcPr>
          <w:p w14:paraId="4F18C498">
            <w:pPr>
              <w:pStyle w:val="7"/>
              <w:spacing w:line="360" w:lineRule="auto"/>
              <w:jc w:val="left"/>
              <w:rPr>
                <w:rFonts w:hint="eastAsia" w:asciiTheme="minorEastAsia" w:hAnsiTheme="minorEastAsia" w:eastAsiaTheme="minorEastAsia" w:cstheme="minorEastAsia"/>
              </w:rPr>
            </w:pPr>
          </w:p>
        </w:tc>
      </w:tr>
      <w:tr w14:paraId="22932E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4DAAFFA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第1.2（7）项</w:t>
            </w:r>
          </w:p>
        </w:tc>
        <w:tc>
          <w:tcPr>
            <w:tcW w:w="1666" w:type="pct"/>
          </w:tcPr>
          <w:p w14:paraId="61128CD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其他术语解释</w:t>
            </w:r>
          </w:p>
        </w:tc>
        <w:tc>
          <w:tcPr>
            <w:tcW w:w="1666" w:type="pct"/>
          </w:tcPr>
          <w:p w14:paraId="508B326A">
            <w:pPr>
              <w:pStyle w:val="7"/>
              <w:spacing w:line="360" w:lineRule="auto"/>
              <w:jc w:val="left"/>
              <w:rPr>
                <w:rFonts w:hint="eastAsia" w:asciiTheme="minorEastAsia" w:hAnsiTheme="minorEastAsia" w:eastAsiaTheme="minorEastAsia" w:cstheme="minorEastAsia"/>
              </w:rPr>
            </w:pPr>
          </w:p>
        </w:tc>
      </w:tr>
      <w:tr w14:paraId="4048E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0672587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第4.4款</w:t>
            </w:r>
          </w:p>
        </w:tc>
        <w:tc>
          <w:tcPr>
            <w:tcW w:w="1666" w:type="pct"/>
          </w:tcPr>
          <w:p w14:paraId="146CDBD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履约验收中甲方提出异议或作出说明的期限</w:t>
            </w:r>
          </w:p>
        </w:tc>
        <w:tc>
          <w:tcPr>
            <w:tcW w:w="1666" w:type="pct"/>
          </w:tcPr>
          <w:p w14:paraId="76058B30">
            <w:pPr>
              <w:pStyle w:val="7"/>
              <w:spacing w:line="360" w:lineRule="auto"/>
              <w:jc w:val="left"/>
              <w:rPr>
                <w:rFonts w:hint="eastAsia" w:asciiTheme="minorEastAsia" w:hAnsiTheme="minorEastAsia" w:eastAsiaTheme="minorEastAsia" w:cstheme="minorEastAsia"/>
              </w:rPr>
            </w:pPr>
          </w:p>
        </w:tc>
      </w:tr>
      <w:tr w14:paraId="44D8E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99F59B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第4.6款</w:t>
            </w:r>
          </w:p>
        </w:tc>
        <w:tc>
          <w:tcPr>
            <w:tcW w:w="1666" w:type="pct"/>
          </w:tcPr>
          <w:p w14:paraId="09371D1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约定甲方承担的其他义务和责任</w:t>
            </w:r>
          </w:p>
        </w:tc>
        <w:tc>
          <w:tcPr>
            <w:tcW w:w="1666" w:type="pct"/>
          </w:tcPr>
          <w:p w14:paraId="6F95D942">
            <w:pPr>
              <w:pStyle w:val="7"/>
              <w:spacing w:line="360" w:lineRule="auto"/>
              <w:jc w:val="left"/>
              <w:rPr>
                <w:rFonts w:hint="eastAsia" w:asciiTheme="minorEastAsia" w:hAnsiTheme="minorEastAsia" w:eastAsiaTheme="minorEastAsia" w:cstheme="minorEastAsia"/>
              </w:rPr>
            </w:pPr>
          </w:p>
        </w:tc>
      </w:tr>
      <w:tr w14:paraId="5BFD1B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28895F9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第5.4款</w:t>
            </w:r>
          </w:p>
        </w:tc>
        <w:tc>
          <w:tcPr>
            <w:tcW w:w="1666" w:type="pct"/>
          </w:tcPr>
          <w:p w14:paraId="60E1523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约定乙方承担的其他义务和责任</w:t>
            </w:r>
          </w:p>
        </w:tc>
        <w:tc>
          <w:tcPr>
            <w:tcW w:w="1666" w:type="pct"/>
          </w:tcPr>
          <w:p w14:paraId="457B81F9">
            <w:pPr>
              <w:pStyle w:val="7"/>
              <w:spacing w:line="360" w:lineRule="auto"/>
              <w:jc w:val="left"/>
              <w:rPr>
                <w:rFonts w:hint="eastAsia" w:asciiTheme="minorEastAsia" w:hAnsiTheme="minorEastAsia" w:eastAsiaTheme="minorEastAsia" w:cstheme="minorEastAsia"/>
              </w:rPr>
            </w:pPr>
          </w:p>
        </w:tc>
      </w:tr>
      <w:tr w14:paraId="6DE61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20679E9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第6.1款</w:t>
            </w:r>
          </w:p>
        </w:tc>
        <w:tc>
          <w:tcPr>
            <w:tcW w:w="1666" w:type="pct"/>
          </w:tcPr>
          <w:p w14:paraId="65A44D1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履行合同义务的顺序</w:t>
            </w:r>
          </w:p>
        </w:tc>
        <w:tc>
          <w:tcPr>
            <w:tcW w:w="1666" w:type="pct"/>
          </w:tcPr>
          <w:p w14:paraId="51435495">
            <w:pPr>
              <w:pStyle w:val="7"/>
              <w:spacing w:line="360" w:lineRule="auto"/>
              <w:jc w:val="left"/>
              <w:rPr>
                <w:rFonts w:hint="eastAsia" w:asciiTheme="minorEastAsia" w:hAnsiTheme="minorEastAsia" w:eastAsiaTheme="minorEastAsia" w:cstheme="minorEastAsia"/>
              </w:rPr>
            </w:pPr>
          </w:p>
        </w:tc>
      </w:tr>
      <w:tr w14:paraId="10FF1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vMerge w:val="restart"/>
          </w:tcPr>
          <w:p w14:paraId="007C429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第7.1款</w:t>
            </w:r>
          </w:p>
        </w:tc>
        <w:tc>
          <w:tcPr>
            <w:tcW w:w="1666" w:type="pct"/>
          </w:tcPr>
          <w:p w14:paraId="68CE3A1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包装特殊要求</w:t>
            </w:r>
          </w:p>
        </w:tc>
        <w:tc>
          <w:tcPr>
            <w:tcW w:w="1666" w:type="pct"/>
          </w:tcPr>
          <w:p w14:paraId="4AAB5547">
            <w:pPr>
              <w:pStyle w:val="7"/>
              <w:spacing w:line="360" w:lineRule="auto"/>
              <w:jc w:val="left"/>
              <w:rPr>
                <w:rFonts w:hint="eastAsia" w:asciiTheme="minorEastAsia" w:hAnsiTheme="minorEastAsia" w:eastAsiaTheme="minorEastAsia" w:cstheme="minorEastAsia"/>
              </w:rPr>
            </w:pPr>
          </w:p>
        </w:tc>
      </w:tr>
      <w:tr w14:paraId="676A2E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vMerge w:val="continue"/>
          </w:tcPr>
          <w:p w14:paraId="33B758D5">
            <w:pPr>
              <w:spacing w:line="360" w:lineRule="auto"/>
              <w:rPr>
                <w:rFonts w:hint="eastAsia" w:asciiTheme="minorEastAsia" w:hAnsiTheme="minorEastAsia" w:eastAsiaTheme="minorEastAsia" w:cstheme="minorEastAsia"/>
              </w:rPr>
            </w:pPr>
          </w:p>
        </w:tc>
        <w:tc>
          <w:tcPr>
            <w:tcW w:w="1666" w:type="pct"/>
          </w:tcPr>
          <w:p w14:paraId="08397E3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指定现场</w:t>
            </w:r>
          </w:p>
        </w:tc>
        <w:tc>
          <w:tcPr>
            <w:tcW w:w="1666" w:type="pct"/>
          </w:tcPr>
          <w:p w14:paraId="0BB2B66E">
            <w:pPr>
              <w:pStyle w:val="7"/>
              <w:spacing w:line="360" w:lineRule="auto"/>
              <w:jc w:val="left"/>
              <w:rPr>
                <w:rFonts w:hint="eastAsia" w:asciiTheme="minorEastAsia" w:hAnsiTheme="minorEastAsia" w:eastAsiaTheme="minorEastAsia" w:cstheme="minorEastAsia"/>
              </w:rPr>
            </w:pPr>
          </w:p>
        </w:tc>
      </w:tr>
      <w:tr w14:paraId="611737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173F71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第7.2款</w:t>
            </w:r>
          </w:p>
        </w:tc>
        <w:tc>
          <w:tcPr>
            <w:tcW w:w="1666" w:type="pct"/>
          </w:tcPr>
          <w:p w14:paraId="2B239F8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运输特殊要求</w:t>
            </w:r>
          </w:p>
        </w:tc>
        <w:tc>
          <w:tcPr>
            <w:tcW w:w="1666" w:type="pct"/>
          </w:tcPr>
          <w:p w14:paraId="63A19152">
            <w:pPr>
              <w:pStyle w:val="7"/>
              <w:spacing w:line="360" w:lineRule="auto"/>
              <w:jc w:val="left"/>
              <w:rPr>
                <w:rFonts w:hint="eastAsia" w:asciiTheme="minorEastAsia" w:hAnsiTheme="minorEastAsia" w:eastAsiaTheme="minorEastAsia" w:cstheme="minorEastAsia"/>
              </w:rPr>
            </w:pPr>
          </w:p>
        </w:tc>
      </w:tr>
      <w:tr w14:paraId="537945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2D786AB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第7.3款</w:t>
            </w:r>
          </w:p>
        </w:tc>
        <w:tc>
          <w:tcPr>
            <w:tcW w:w="1666" w:type="pct"/>
          </w:tcPr>
          <w:p w14:paraId="034D17C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保险要求</w:t>
            </w:r>
          </w:p>
        </w:tc>
        <w:tc>
          <w:tcPr>
            <w:tcW w:w="1666" w:type="pct"/>
          </w:tcPr>
          <w:p w14:paraId="7B00D445">
            <w:pPr>
              <w:pStyle w:val="7"/>
              <w:spacing w:line="360" w:lineRule="auto"/>
              <w:jc w:val="left"/>
              <w:rPr>
                <w:rFonts w:hint="eastAsia" w:asciiTheme="minorEastAsia" w:hAnsiTheme="minorEastAsia" w:eastAsiaTheme="minorEastAsia" w:cstheme="minorEastAsia"/>
              </w:rPr>
            </w:pPr>
          </w:p>
        </w:tc>
      </w:tr>
      <w:tr w14:paraId="77A5BF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0428C4F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第8.2（1）项</w:t>
            </w:r>
          </w:p>
        </w:tc>
        <w:tc>
          <w:tcPr>
            <w:tcW w:w="1666" w:type="pct"/>
          </w:tcPr>
          <w:p w14:paraId="7E6C7AA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质量保证期</w:t>
            </w:r>
          </w:p>
        </w:tc>
        <w:tc>
          <w:tcPr>
            <w:tcW w:w="1666" w:type="pct"/>
          </w:tcPr>
          <w:p w14:paraId="0217C615">
            <w:pPr>
              <w:spacing w:line="360" w:lineRule="auto"/>
              <w:rPr>
                <w:rFonts w:hint="eastAsia" w:asciiTheme="minorEastAsia" w:hAnsiTheme="minorEastAsia" w:eastAsiaTheme="minorEastAsia" w:cstheme="minorEastAsia"/>
              </w:rPr>
            </w:pPr>
          </w:p>
        </w:tc>
      </w:tr>
      <w:tr w14:paraId="567A05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54B9E6A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第8.2（3）项</w:t>
            </w:r>
          </w:p>
        </w:tc>
        <w:tc>
          <w:tcPr>
            <w:tcW w:w="1666" w:type="pct"/>
          </w:tcPr>
          <w:p w14:paraId="36B2BDA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货物质量缺陷响应时间</w:t>
            </w:r>
          </w:p>
        </w:tc>
        <w:tc>
          <w:tcPr>
            <w:tcW w:w="1666" w:type="pct"/>
          </w:tcPr>
          <w:p w14:paraId="691015C4">
            <w:pPr>
              <w:spacing w:line="360" w:lineRule="auto"/>
              <w:rPr>
                <w:rFonts w:hint="eastAsia" w:asciiTheme="minorEastAsia" w:hAnsiTheme="minorEastAsia" w:eastAsiaTheme="minorEastAsia" w:cstheme="minorEastAsia"/>
              </w:rPr>
            </w:pPr>
          </w:p>
        </w:tc>
      </w:tr>
      <w:tr w14:paraId="70598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0C481E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第11.1款</w:t>
            </w:r>
          </w:p>
        </w:tc>
        <w:tc>
          <w:tcPr>
            <w:tcW w:w="1666" w:type="pct"/>
          </w:tcPr>
          <w:p w14:paraId="0A97B37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其他应当保密的信息</w:t>
            </w:r>
          </w:p>
        </w:tc>
        <w:tc>
          <w:tcPr>
            <w:tcW w:w="1666" w:type="pct"/>
          </w:tcPr>
          <w:p w14:paraId="7A7467BC">
            <w:pPr>
              <w:spacing w:line="360" w:lineRule="auto"/>
              <w:rPr>
                <w:rFonts w:hint="eastAsia" w:asciiTheme="minorEastAsia" w:hAnsiTheme="minorEastAsia" w:eastAsiaTheme="minorEastAsia" w:cstheme="minorEastAsia"/>
              </w:rPr>
            </w:pPr>
          </w:p>
        </w:tc>
      </w:tr>
      <w:tr w14:paraId="1643E8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090B56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第12.2款</w:t>
            </w:r>
          </w:p>
        </w:tc>
        <w:tc>
          <w:tcPr>
            <w:tcW w:w="1666" w:type="pct"/>
          </w:tcPr>
          <w:p w14:paraId="785FE3E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合同价款支付时间</w:t>
            </w:r>
          </w:p>
        </w:tc>
        <w:tc>
          <w:tcPr>
            <w:tcW w:w="1666" w:type="pct"/>
          </w:tcPr>
          <w:p w14:paraId="16D7155A">
            <w:pPr>
              <w:spacing w:line="360" w:lineRule="auto"/>
              <w:rPr>
                <w:rFonts w:hint="eastAsia" w:asciiTheme="minorEastAsia" w:hAnsiTheme="minorEastAsia" w:eastAsiaTheme="minorEastAsia" w:cstheme="minorEastAsia"/>
              </w:rPr>
            </w:pPr>
          </w:p>
        </w:tc>
      </w:tr>
      <w:tr w14:paraId="34111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27E526C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第13.2款</w:t>
            </w:r>
          </w:p>
        </w:tc>
        <w:tc>
          <w:tcPr>
            <w:tcW w:w="1666" w:type="pct"/>
          </w:tcPr>
          <w:p w14:paraId="096725A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履约保证金不予退还的情形</w:t>
            </w:r>
          </w:p>
        </w:tc>
        <w:tc>
          <w:tcPr>
            <w:tcW w:w="1666" w:type="pct"/>
          </w:tcPr>
          <w:p w14:paraId="3DA66A94">
            <w:pPr>
              <w:spacing w:line="360" w:lineRule="auto"/>
              <w:rPr>
                <w:rFonts w:hint="eastAsia" w:asciiTheme="minorEastAsia" w:hAnsiTheme="minorEastAsia" w:eastAsiaTheme="minorEastAsia" w:cstheme="minorEastAsia"/>
              </w:rPr>
            </w:pPr>
          </w:p>
        </w:tc>
      </w:tr>
      <w:tr w14:paraId="23901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4D16CD4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第13.3款</w:t>
            </w:r>
          </w:p>
        </w:tc>
        <w:tc>
          <w:tcPr>
            <w:tcW w:w="1666" w:type="pct"/>
          </w:tcPr>
          <w:p w14:paraId="5895063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履约保证金退还时间及逾期退还的违约金</w:t>
            </w:r>
          </w:p>
        </w:tc>
        <w:tc>
          <w:tcPr>
            <w:tcW w:w="1666" w:type="pct"/>
          </w:tcPr>
          <w:p w14:paraId="564E802D">
            <w:pPr>
              <w:spacing w:line="360" w:lineRule="auto"/>
              <w:rPr>
                <w:rFonts w:hint="eastAsia" w:asciiTheme="minorEastAsia" w:hAnsiTheme="minorEastAsia" w:eastAsiaTheme="minorEastAsia" w:cstheme="minorEastAsia"/>
              </w:rPr>
            </w:pPr>
          </w:p>
        </w:tc>
      </w:tr>
      <w:tr w14:paraId="0A9FC4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FB66C1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第14.1（3）项</w:t>
            </w:r>
          </w:p>
        </w:tc>
        <w:tc>
          <w:tcPr>
            <w:tcW w:w="1666" w:type="pct"/>
          </w:tcPr>
          <w:p w14:paraId="6FEECA1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运行监督、维修期限</w:t>
            </w:r>
          </w:p>
        </w:tc>
        <w:tc>
          <w:tcPr>
            <w:tcW w:w="1666" w:type="pct"/>
          </w:tcPr>
          <w:p w14:paraId="0E27469D">
            <w:pPr>
              <w:spacing w:line="360" w:lineRule="auto"/>
              <w:rPr>
                <w:rFonts w:hint="eastAsia" w:asciiTheme="minorEastAsia" w:hAnsiTheme="minorEastAsia" w:eastAsiaTheme="minorEastAsia" w:cstheme="minorEastAsia"/>
              </w:rPr>
            </w:pPr>
          </w:p>
        </w:tc>
      </w:tr>
      <w:tr w14:paraId="4AEFD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40C8082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第14.1（5）项</w:t>
            </w:r>
          </w:p>
        </w:tc>
        <w:tc>
          <w:tcPr>
            <w:tcW w:w="1666" w:type="pct"/>
          </w:tcPr>
          <w:p w14:paraId="197C511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货物回收的约定</w:t>
            </w:r>
          </w:p>
        </w:tc>
        <w:tc>
          <w:tcPr>
            <w:tcW w:w="1666" w:type="pct"/>
          </w:tcPr>
          <w:p w14:paraId="247B8181">
            <w:pPr>
              <w:spacing w:line="360" w:lineRule="auto"/>
              <w:rPr>
                <w:rFonts w:hint="eastAsia" w:asciiTheme="minorEastAsia" w:hAnsiTheme="minorEastAsia" w:eastAsiaTheme="minorEastAsia" w:cstheme="minorEastAsia"/>
              </w:rPr>
            </w:pPr>
          </w:p>
        </w:tc>
      </w:tr>
      <w:tr w14:paraId="524B3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24C76A5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第14.1（6）项</w:t>
            </w:r>
          </w:p>
        </w:tc>
        <w:tc>
          <w:tcPr>
            <w:tcW w:w="1666" w:type="pct"/>
          </w:tcPr>
          <w:p w14:paraId="65BD4BF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乙方提供的其他服务</w:t>
            </w:r>
          </w:p>
        </w:tc>
        <w:tc>
          <w:tcPr>
            <w:tcW w:w="1666" w:type="pct"/>
          </w:tcPr>
          <w:p w14:paraId="438E5B84">
            <w:pPr>
              <w:spacing w:line="360" w:lineRule="auto"/>
              <w:rPr>
                <w:rFonts w:hint="eastAsia" w:asciiTheme="minorEastAsia" w:hAnsiTheme="minorEastAsia" w:eastAsiaTheme="minorEastAsia" w:cstheme="minorEastAsia"/>
              </w:rPr>
            </w:pPr>
          </w:p>
        </w:tc>
      </w:tr>
      <w:tr w14:paraId="1AA90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E7DA82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第15.1款</w:t>
            </w:r>
          </w:p>
        </w:tc>
        <w:tc>
          <w:tcPr>
            <w:tcW w:w="1666" w:type="pct"/>
          </w:tcPr>
          <w:p w14:paraId="65858B8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修理、重作、更换相关具体规定</w:t>
            </w:r>
          </w:p>
        </w:tc>
        <w:tc>
          <w:tcPr>
            <w:tcW w:w="1666" w:type="pct"/>
          </w:tcPr>
          <w:p w14:paraId="0C30876D">
            <w:pPr>
              <w:spacing w:line="360" w:lineRule="auto"/>
              <w:rPr>
                <w:rFonts w:hint="eastAsia" w:asciiTheme="minorEastAsia" w:hAnsiTheme="minorEastAsia" w:eastAsiaTheme="minorEastAsia" w:cstheme="minorEastAsia"/>
              </w:rPr>
            </w:pPr>
          </w:p>
        </w:tc>
      </w:tr>
      <w:tr w14:paraId="6E860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4C17BD1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第15.2（2）项</w:t>
            </w:r>
          </w:p>
        </w:tc>
        <w:tc>
          <w:tcPr>
            <w:tcW w:w="1666" w:type="pct"/>
          </w:tcPr>
          <w:p w14:paraId="6F12A65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迟延交货赔偿费</w:t>
            </w:r>
          </w:p>
        </w:tc>
        <w:tc>
          <w:tcPr>
            <w:tcW w:w="1666" w:type="pct"/>
          </w:tcPr>
          <w:p w14:paraId="7648E554">
            <w:pPr>
              <w:spacing w:line="360" w:lineRule="auto"/>
              <w:rPr>
                <w:rFonts w:hint="eastAsia" w:asciiTheme="minorEastAsia" w:hAnsiTheme="minorEastAsia" w:eastAsiaTheme="minorEastAsia" w:cstheme="minorEastAsia"/>
              </w:rPr>
            </w:pPr>
          </w:p>
        </w:tc>
      </w:tr>
      <w:tr w14:paraId="6A4D0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5C78739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第15.3款</w:t>
            </w:r>
          </w:p>
        </w:tc>
        <w:tc>
          <w:tcPr>
            <w:tcW w:w="1666" w:type="pct"/>
          </w:tcPr>
          <w:p w14:paraId="44D395D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逾期付款利息</w:t>
            </w:r>
          </w:p>
        </w:tc>
        <w:tc>
          <w:tcPr>
            <w:tcW w:w="1666" w:type="pct"/>
          </w:tcPr>
          <w:p w14:paraId="54FF7669">
            <w:pPr>
              <w:spacing w:line="360" w:lineRule="auto"/>
              <w:rPr>
                <w:rFonts w:hint="eastAsia" w:asciiTheme="minorEastAsia" w:hAnsiTheme="minorEastAsia" w:eastAsiaTheme="minorEastAsia" w:cstheme="minorEastAsia"/>
              </w:rPr>
            </w:pPr>
          </w:p>
        </w:tc>
      </w:tr>
      <w:tr w14:paraId="4635D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31FB22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第15.4款</w:t>
            </w:r>
          </w:p>
        </w:tc>
        <w:tc>
          <w:tcPr>
            <w:tcW w:w="1666" w:type="pct"/>
          </w:tcPr>
          <w:p w14:paraId="590B732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其他违约责任</w:t>
            </w:r>
          </w:p>
        </w:tc>
        <w:tc>
          <w:tcPr>
            <w:tcW w:w="1666" w:type="pct"/>
          </w:tcPr>
          <w:p w14:paraId="03D8DE23">
            <w:pPr>
              <w:spacing w:line="360" w:lineRule="auto"/>
              <w:rPr>
                <w:rFonts w:hint="eastAsia" w:asciiTheme="minorEastAsia" w:hAnsiTheme="minorEastAsia" w:eastAsiaTheme="minorEastAsia" w:cstheme="minorEastAsia"/>
              </w:rPr>
            </w:pPr>
          </w:p>
        </w:tc>
      </w:tr>
      <w:tr w14:paraId="257CF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E3AF18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第19.2款</w:t>
            </w:r>
          </w:p>
        </w:tc>
        <w:tc>
          <w:tcPr>
            <w:tcW w:w="1666" w:type="pct"/>
          </w:tcPr>
          <w:p w14:paraId="3E6C1DE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解决争议的方法</w:t>
            </w:r>
          </w:p>
        </w:tc>
        <w:tc>
          <w:tcPr>
            <w:tcW w:w="1666" w:type="pct"/>
          </w:tcPr>
          <w:p w14:paraId="461D0F3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因本合同及合同有关事项发生的争议，按下列第____ 种方式解决：</w:t>
            </w:r>
          </w:p>
          <w:p w14:paraId="25161A9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（1）向 __________________仲裁委员会申请仲裁，仲裁地点为 ____________ ；</w:t>
            </w:r>
          </w:p>
          <w:p w14:paraId="5AF7075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（2）向__________________人民法院起诉。</w:t>
            </w:r>
          </w:p>
        </w:tc>
      </w:tr>
      <w:tr w14:paraId="3CE56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4AF9315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第23.1款</w:t>
            </w:r>
          </w:p>
        </w:tc>
        <w:tc>
          <w:tcPr>
            <w:tcW w:w="1666" w:type="pct"/>
          </w:tcPr>
          <w:p w14:paraId="58610AE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其他专用条款</w:t>
            </w:r>
          </w:p>
        </w:tc>
        <w:tc>
          <w:tcPr>
            <w:tcW w:w="1666" w:type="pct"/>
          </w:tcPr>
          <w:p w14:paraId="522171F2">
            <w:pPr>
              <w:spacing w:line="360" w:lineRule="auto"/>
              <w:rPr>
                <w:rFonts w:hint="eastAsia" w:asciiTheme="minorEastAsia" w:hAnsiTheme="minorEastAsia" w:eastAsiaTheme="minorEastAsia" w:cstheme="minorEastAsia"/>
              </w:rPr>
            </w:pPr>
          </w:p>
        </w:tc>
      </w:tr>
    </w:tbl>
    <w:p w14:paraId="4B3086F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9883B76">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第七章 电子投标文件格式</w:t>
      </w:r>
    </w:p>
    <w:p w14:paraId="18FA90E1">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编制说明</w:t>
      </w:r>
    </w:p>
    <w:p w14:paraId="539F6F1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1、除招标文件另有规定外，本章中：</w:t>
      </w:r>
    </w:p>
    <w:p w14:paraId="16B52F8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1.1涉及投标人的“全称”：</w:t>
      </w:r>
    </w:p>
    <w:p w14:paraId="3740118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（1）不接受联合体投标的，指投标人的全称。</w:t>
      </w:r>
    </w:p>
    <w:p w14:paraId="0776AF1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（2）接受联合体投标且投标人为联合体的，指牵头方的全称并加注（联合体牵头方），即应表述为：“牵头方的全称（联合体牵头方）”。</w:t>
      </w:r>
    </w:p>
    <w:p w14:paraId="417785A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1.2涉及投标人“加盖单位公章”：</w:t>
      </w:r>
    </w:p>
    <w:p w14:paraId="41158E6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（1）不接受联合体投标的，指加盖投标人的单位公章。</w:t>
      </w:r>
    </w:p>
    <w:p w14:paraId="4193BF7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（2）接受联合体投标且投标人为联合体的，指加盖联合体牵头方的单位公章。</w:t>
      </w:r>
    </w:p>
    <w:p w14:paraId="6C12782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1.3涉及“投标人代表签字”：</w:t>
      </w:r>
    </w:p>
    <w:p w14:paraId="42F3F2B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（1）不接受联合体投标的，指由投标人的单位负责人或其授权的委托代理人签字，由委托代理人签字的，应提供“单位授权书”。</w:t>
      </w:r>
    </w:p>
    <w:p w14:paraId="0CE4946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（2）接受联合体投标且投标人为联合体的，指由联合体牵头方的单位负责人或其授权的委托代理人签字，由委托代理人签字的，应提供“单位授权书”。</w:t>
      </w:r>
    </w:p>
    <w:p w14:paraId="3A04C84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1.4“其他组织”指合伙企业、非企业专业服务机构、个体工商户、农村承包经营户等。</w:t>
      </w:r>
    </w:p>
    <w:p w14:paraId="2AE42B0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1.5“自然人”指具有完全民事行为能力、能够承担民事责任和义务的中国公民。</w:t>
      </w:r>
    </w:p>
    <w:p w14:paraId="697CE75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2、除招标文件另有规定外，本章中“投标人的资格及资信证明文件”：</w:t>
      </w:r>
    </w:p>
    <w:p w14:paraId="40FBB68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2.1投标人应按照招标文件第四章第1.3条第（2）款规定及本章规定进行编制，如有必要，可增加附页，附页作为资格及资信文件的组成部分。</w:t>
      </w:r>
    </w:p>
    <w:p w14:paraId="3A84C4D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2.2接受联合体投标且投标人为联合体的，联合体中的各方均应按照本章第2.1条规定提交相应的全部资料。</w:t>
      </w:r>
    </w:p>
    <w:p w14:paraId="2A24FB8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3、投标人对电子投标文件的索引应编制页码。</w:t>
      </w:r>
    </w:p>
    <w:p w14:paraId="0A40CEB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4、本章提供格式仅供参考，投标人应根据自身实际情况制作电子投标文件。</w:t>
      </w:r>
    </w:p>
    <w:p w14:paraId="6873BE55">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7D9976F">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封面格式(资格及资信证明部分)</w:t>
      </w:r>
    </w:p>
    <w:p w14:paraId="792DBFC8">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61001B4D">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（资格及资信证明部分）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573F2776">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4F91315A">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33FC5F82">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195897D4">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414573B6">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582B02E2">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1E085C10">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17B5587F">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50F8A54">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3FC5E61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一、投标函</w:t>
      </w:r>
    </w:p>
    <w:p w14:paraId="456823B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二、投标人的资格及资信证明文件</w:t>
      </w:r>
    </w:p>
    <w:p w14:paraId="3189F70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三、投标保证金</w:t>
      </w:r>
    </w:p>
    <w:p w14:paraId="7FADB9A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3D55B1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资格及资信证明部分中不得出现报价部分的全部或部分的投标报价信息（或组成资料），否则资格审查不合格。（联合体协议及分包意向协议中的比例规定，不适用本条款）</w:t>
      </w:r>
    </w:p>
    <w:p w14:paraId="2016DCB2">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B312F64">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一、投标函</w:t>
      </w:r>
    </w:p>
    <w:p w14:paraId="09614E0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4685AC5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兹收到贵单位关于</w:t>
      </w:r>
      <w:r>
        <w:rPr>
          <w:rFonts w:hint="eastAsia" w:asciiTheme="minorEastAsia" w:hAnsiTheme="minorEastAsia" w:eastAsiaTheme="minorEastAsia" w:cstheme="minorEastAsia"/>
          <w:u w:val="single"/>
        </w:rPr>
        <w:t xml:space="preserve">（填写“项目名称”） </w:t>
      </w:r>
      <w:r>
        <w:rPr>
          <w:rFonts w:hint="eastAsia" w:asciiTheme="minorEastAsia" w:hAnsiTheme="minorEastAsia" w:eastAsiaTheme="minorEastAsia" w:cstheme="minorEastAsia"/>
        </w:rPr>
        <w:t>项目</w:t>
      </w:r>
      <w:r>
        <w:rPr>
          <w:rFonts w:hint="eastAsia" w:asciiTheme="minorEastAsia" w:hAnsiTheme="minorEastAsia" w:eastAsiaTheme="minorEastAsia" w:cstheme="minorEastAsia"/>
          <w:u w:val="single"/>
        </w:rPr>
        <w:t xml:space="preserve">（项目编号：　　　　　） </w:t>
      </w:r>
      <w:r>
        <w:rPr>
          <w:rFonts w:hint="eastAsia" w:asciiTheme="minorEastAsia" w:hAnsiTheme="minorEastAsia" w:eastAsiaTheme="minorEastAsia" w:cstheme="minorEastAsia"/>
        </w:rPr>
        <w:t>的投标邀请，本投标人代表</w:t>
      </w:r>
      <w:r>
        <w:rPr>
          <w:rFonts w:hint="eastAsia" w:asciiTheme="minorEastAsia" w:hAnsiTheme="minorEastAsia" w:eastAsiaTheme="minorEastAsia" w:cstheme="minorEastAsia"/>
          <w:u w:val="single"/>
        </w:rPr>
        <w:t xml:space="preserve">（填写“全名”） </w:t>
      </w:r>
      <w:r>
        <w:rPr>
          <w:rFonts w:hint="eastAsia" w:asciiTheme="minorEastAsia" w:hAnsiTheme="minorEastAsia" w:eastAsiaTheme="minorEastAsia" w:cstheme="minorEastAsia"/>
        </w:rPr>
        <w:t>已获得我方正式授权并代表投标人（填写“全称”）参加投标，并提交电子投标文件。我方提交的全部电子投标文件由下述部分组成：</w:t>
      </w:r>
    </w:p>
    <w:p w14:paraId="484A1E0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14:paraId="5B5E221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14:paraId="092D809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14:paraId="7DC809A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14:paraId="1E75406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14:paraId="0C88D5D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w:t>
      </w:r>
    </w:p>
    <w:p w14:paraId="4224B5E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②投标（响应）报价明细表</w:t>
      </w:r>
    </w:p>
    <w:p w14:paraId="254FA21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14:paraId="7612C60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14:paraId="498762D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14:paraId="7C45052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14:paraId="1B3E9F0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14:paraId="162D499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14:paraId="21F4C8B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14:paraId="619FA77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根据本函，本投标人代表宣布我方保证遵守招标文件的全部规定，同时：</w:t>
      </w:r>
    </w:p>
    <w:p w14:paraId="3C5C742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1、确认：</w:t>
      </w:r>
    </w:p>
    <w:p w14:paraId="20B77D9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1.1所投采购包的投标报价详见“开标（报价）一览表”及“投标（响应）报价明细表”。</w:t>
      </w:r>
    </w:p>
    <w:p w14:paraId="5597FC0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1.2我方已详细审查全部招标文件[包括但不限于：有关附件（若有）、澄清或修改（若有）等]，并自行承担因对全部招标文件理解不正确或误解而产生的相应后果和责任。</w:t>
      </w:r>
    </w:p>
    <w:p w14:paraId="274C5D9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2、承诺及声明：</w:t>
      </w:r>
    </w:p>
    <w:p w14:paraId="208170C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2.1我方具备招标文件第一章载明的“投标人的资格要求”且符合招标文件第三章载明的“二、投标人”之规定，否则投标无效。</w:t>
      </w:r>
    </w:p>
    <w:p w14:paraId="0D2DA04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2.2我方提交的电子投标文件各组成部分的全部内容及资料是不可割离且真实、有效、准确、完整和不具有任何误导性的，否则产生不利后果由我方承担责任。</w:t>
      </w:r>
    </w:p>
    <w:p w14:paraId="1A1AA55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2.3我方提供的标的价格不高于同期市场价格，否则产生不利后果由我方承担责任。</w:t>
      </w:r>
    </w:p>
    <w:p w14:paraId="1C37258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2.4投标保证金：若出现招标文件第三章规定的不予退还情形，同意贵单位不予退还。</w:t>
      </w:r>
    </w:p>
    <w:p w14:paraId="12362ED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2.5投标有效期：按照招标文件第三章规定执行，并在招标文件第二章载明的期限内保持有效。</w:t>
      </w:r>
    </w:p>
    <w:p w14:paraId="65909E3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2.6若中标，将按照招标文件、我方电子投标文件及政府采购合同履行责任和义务。</w:t>
      </w:r>
    </w:p>
    <w:p w14:paraId="572DBDB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2.7若贵单位要求，我方同意提供与本项目投标有关的一切资料、数据或文件，并完全理解贵单位不一定要接受最低的投标报价或收到的任何投标。</w:t>
      </w:r>
    </w:p>
    <w:p w14:paraId="3B9AFE4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2.8我方承诺遵守《中华人民共和国劳动合同法》有关规定和《中华人民共和国妇女权益保障法 》中关于“劳动和社会保障权益”的有关要求。</w:t>
      </w:r>
    </w:p>
    <w:p w14:paraId="4B59295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2.9我方承诺电子投标文件所提供的全部资料真实可靠，并接受评标委员会、采购人、采购代理机构、监管部门进一步审查其中任何资料真实性的要求。</w:t>
      </w:r>
    </w:p>
    <w:p w14:paraId="7E14EFB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2.10除招标文件另有规定外，对于贵单位按照下述联络方式发出的任何信息或通知，均视为我方已收悉前述信息或通知的全部内容：</w:t>
      </w:r>
    </w:p>
    <w:p w14:paraId="71B5B4E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通信地址：</w:t>
      </w:r>
    </w:p>
    <w:p w14:paraId="3087368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邮编：</w:t>
      </w:r>
    </w:p>
    <w:p w14:paraId="42F342D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联系方法：（包括但不限于：联系人、联系电话、手机、传真、电子邮箱等）</w:t>
      </w:r>
    </w:p>
    <w:p w14:paraId="563E58B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投标人：（全称并加盖单位公章）</w:t>
      </w:r>
    </w:p>
    <w:p w14:paraId="7D54938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7EA87DE8">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FDFCAC2">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二、投标人的资格及资信证明文件</w:t>
      </w:r>
    </w:p>
    <w:p w14:paraId="3CF6ACAF">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二-1单位授权书（若有）</w:t>
      </w:r>
    </w:p>
    <w:p w14:paraId="640FAA9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6AC9C9E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我方的单位负责人</w:t>
      </w:r>
      <w:r>
        <w:rPr>
          <w:rFonts w:hint="eastAsia" w:asciiTheme="minorEastAsia" w:hAnsiTheme="minorEastAsia" w:eastAsiaTheme="minorEastAsia" w:cstheme="minorEastAsia"/>
          <w:u w:val="single"/>
        </w:rPr>
        <w:t>（填写“单位负责人全名”）</w:t>
      </w:r>
      <w:r>
        <w:rPr>
          <w:rFonts w:hint="eastAsia" w:asciiTheme="minorEastAsia" w:hAnsiTheme="minorEastAsia" w:eastAsiaTheme="minorEastAsia" w:cstheme="minorEastAsia"/>
        </w:rPr>
        <w:t>授权</w:t>
      </w:r>
      <w:r>
        <w:rPr>
          <w:rFonts w:hint="eastAsia" w:asciiTheme="minorEastAsia" w:hAnsiTheme="minorEastAsia" w:eastAsiaTheme="minorEastAsia" w:cstheme="minorEastAsia"/>
          <w:u w:val="single"/>
        </w:rPr>
        <w:t>（填写“投标人代表全名”）</w:t>
      </w:r>
      <w:r>
        <w:rPr>
          <w:rFonts w:hint="eastAsia" w:asciiTheme="minorEastAsia" w:hAnsiTheme="minorEastAsia" w:eastAsiaTheme="minorEastAsia" w:cstheme="minorEastAsia"/>
        </w:rPr>
        <w:t>为投标人代表，代表我方参加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72A4621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投标人代表无转委权。特此授权。</w:t>
      </w:r>
    </w:p>
    <w:p w14:paraId="53B2DC9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35996EB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299BF3D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3D652F9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授权方</w:t>
      </w:r>
    </w:p>
    <w:p w14:paraId="2E95E87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D708385">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 年 月 日</w:t>
      </w:r>
    </w:p>
    <w:p w14:paraId="5ECC08D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附：单位负责人、投标人代表的身份证正反面复印件</w:t>
      </w:r>
    </w:p>
    <w:p w14:paraId="4E49231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要求：真实有效且内容完整、清晰、整洁。</w:t>
      </w:r>
    </w:p>
    <w:p w14:paraId="1DD99B3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9E8071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1、企业（银行、保险、石油石化、电力、电信等行业除外）、事业单位和社会团体法人的“单位负责人”指法定代表人，即与实际提交的“营业执照等证明文件”载明的一致。</w:t>
      </w:r>
    </w:p>
    <w:p w14:paraId="214F420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052F36E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3、投标人（自然人除外）：若投标人代表为单位授权的委托代理人，应提供本授权书；若投标人代表为单位负责人，应在此项下提交其身份证正反面复印件，可不提供本授权书。</w:t>
      </w:r>
    </w:p>
    <w:p w14:paraId="0055E89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4、投标人为自然人的，可不填写本授权书。</w:t>
      </w:r>
    </w:p>
    <w:p w14:paraId="2F230D9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96DCBBD">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 证明材料</w:t>
      </w:r>
    </w:p>
    <w:p w14:paraId="6AC7404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2645C18D">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二-2-1 福建省政府采购供应商资格承诺函</w:t>
      </w:r>
    </w:p>
    <w:p w14:paraId="7FD24C0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02C3D48">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单位名称(自然人姓名):</w:t>
      </w:r>
    </w:p>
    <w:p w14:paraId="7DF78F54">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统一社会信用代码(自然人身份证号码):</w:t>
      </w:r>
    </w:p>
    <w:p w14:paraId="6C57A3C6">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法定代表人(负责人):</w:t>
      </w:r>
    </w:p>
    <w:p w14:paraId="3BC58C30">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联系地址和电话:</w:t>
      </w:r>
    </w:p>
    <w:p w14:paraId="355C279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我单位(本人)自愿参加本次政府采购活动，严格遵守《中华人民共和国政府采购法》及相关法律法规，坚守公开、公平公正和诚实信用等原则，依法诚信经营，并郑重承诺:</w:t>
      </w:r>
    </w:p>
    <w:p w14:paraId="7B705AD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一、我单位(本人)具备采购文件要求以及《中华人民共和国政府采购法》第二十二条规定的条件:</w:t>
      </w:r>
    </w:p>
    <w:p w14:paraId="25D7DD5C">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p w14:paraId="7F4C1E99">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2.具有良好的商业信誉和健全的财务会计制度;</w:t>
      </w:r>
    </w:p>
    <w:p w14:paraId="04D8D8ED">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3.具有履行合同所必需的设备和专业技术能力;</w:t>
      </w:r>
    </w:p>
    <w:p w14:paraId="5615EC00">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4.有依法缴纳税收和社会保障资金的良好记录;</w:t>
      </w:r>
    </w:p>
    <w:p w14:paraId="3E61376F">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5.参加政府采购活动前三年内，在经营活动中没有重大违法记录；</w:t>
      </w:r>
    </w:p>
    <w:p w14:paraId="5CB6F927">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p w14:paraId="261DDED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943C2A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743A3B8">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u w:val="single"/>
        </w:rPr>
        <w:t>名称(单位公章)</w:t>
      </w:r>
    </w:p>
    <w:p w14:paraId="42FAF1F9">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AB0382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w:t>
      </w:r>
    </w:p>
    <w:p w14:paraId="392D6564">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1.我单位(本人)专指参加政府采购活动的供应商(含自然人)；</w:t>
      </w:r>
    </w:p>
    <w:p w14:paraId="548A7465">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2.资格承诺的供应商应在投标(响应)文件中按此模板提供承诺函，否则，视为未按照招标文件规定提交投标人的资格及资信文件，按资格审查不通过处理。</w:t>
      </w:r>
    </w:p>
    <w:p w14:paraId="2C46301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AFAA0AB">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二-2-2 资格证明材料</w:t>
      </w:r>
    </w:p>
    <w:p w14:paraId="67B681BA">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营业执照等证明文件</w:t>
      </w:r>
    </w:p>
    <w:p w14:paraId="26FB4E4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722B68E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）投标人为法人（包括企业、事业单位和社会团体）的</w:t>
      </w:r>
    </w:p>
    <w:p w14:paraId="16DED13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签发的我方统一社会信用代码（请填写法人的具体证照名称）复印件，该证明材料真实有效，否则我方负全部责任。</w:t>
      </w:r>
    </w:p>
    <w:p w14:paraId="3A991A4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）投标人为非法人（包括其他组织、自然人）的</w:t>
      </w:r>
    </w:p>
    <w:p w14:paraId="04D46E1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签发的我方（请填写非自然人的非法人的具体证照名称）复印件，该证明材料真实有效，否则我方负全部责任。</w:t>
      </w:r>
    </w:p>
    <w:p w14:paraId="2070EF7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签发的我方（请填写自然人的身份证件名称）复印件，该证明材料真实有效，否则我方负全部责任。</w:t>
      </w:r>
    </w:p>
    <w:p w14:paraId="3875547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B6B69A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06C4CF3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FF4EEE1">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81418C6">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FBE0F0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849B8D7">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财务状况报告（财务报告、或资信证明）</w:t>
      </w:r>
    </w:p>
    <w:p w14:paraId="1F36D50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5FF93C6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）投标人提供财务报告的</w:t>
      </w:r>
    </w:p>
    <w:p w14:paraId="157D1A0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□企业适用：现附上我方</w:t>
      </w:r>
      <w:r>
        <w:rPr>
          <w:rFonts w:hint="eastAsia" w:asciiTheme="minorEastAsia" w:hAnsiTheme="minorEastAsia" w:eastAsiaTheme="minorEastAsia" w:cstheme="minorEastAsia"/>
          <w:u w:val="single"/>
        </w:rPr>
        <w:t>（填写“具体的年度、或半年度、季度”）</w:t>
      </w:r>
      <w:r>
        <w:rPr>
          <w:rFonts w:hint="eastAsia" w:asciiTheme="minorEastAsia" w:hAnsiTheme="minorEastAsia" w:eastAsiaTheme="minorEastAsia" w:cstheme="minorEastAsia"/>
        </w:rPr>
        <w:t>财务报告复印件，包括资产负债表、利润表、现金流量表、所有者权益变动表（若有）及其附注（若有）、会计师事务所营业执照和注册会计师资格证书，上述证明材料真实有效，否则我方负全部责任。</w:t>
      </w:r>
    </w:p>
    <w:p w14:paraId="3F989B4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财务报告复印件，包括资产负债表、收入支出表（或收入费用表）、财政补助收入支出表（若有）、会计师事务所营业执照和注册会计师资格证书，上述证明材料真实有效，否则我方负全部责任。</w:t>
      </w:r>
    </w:p>
    <w:p w14:paraId="5A964A8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□社会团体、民办非企适用：现附上我方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财务报告复印件，包括资产负债表、业务活动表、现金流量表、会计师事务所营业执照和注册会计师资格证书，上述证明材料真实有效，否则我方负全部责任。</w:t>
      </w:r>
    </w:p>
    <w:p w14:paraId="0D49FB7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）投标人提供资信证明的</w:t>
      </w:r>
    </w:p>
    <w:p w14:paraId="6A74A2F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□非自然人适用（包括企业、事业单位、社会团体和其他组织）：现附上我方银行：</w:t>
      </w:r>
      <w:r>
        <w:rPr>
          <w:rFonts w:hint="eastAsia" w:asciiTheme="minorEastAsia" w:hAnsiTheme="minorEastAsia" w:eastAsiaTheme="minorEastAsia" w:cstheme="minorEastAsia"/>
          <w:u w:val="single"/>
        </w:rPr>
        <w:t>（填写“开户银行全称”）</w:t>
      </w:r>
      <w:r>
        <w:rPr>
          <w:rFonts w:hint="eastAsia" w:asciiTheme="minorEastAsia" w:hAnsiTheme="minorEastAsia" w:eastAsiaTheme="minorEastAsia" w:cstheme="minorEastAsia"/>
        </w:rPr>
        <w:t>出具的资信证明复印件，上述证明材料真实有效，否则我方负全部责任。</w:t>
      </w:r>
    </w:p>
    <w:p w14:paraId="41DB7E2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□自然人适用：现附上我方银行</w:t>
      </w:r>
      <w:r>
        <w:rPr>
          <w:rFonts w:hint="eastAsia" w:asciiTheme="minorEastAsia" w:hAnsiTheme="minorEastAsia" w:eastAsiaTheme="minorEastAsia" w:cstheme="minorEastAsia"/>
          <w:u w:val="single"/>
        </w:rPr>
        <w:t>：（填写自然人的“个人账户的开户银行全称”）</w:t>
      </w:r>
      <w:r>
        <w:rPr>
          <w:rFonts w:hint="eastAsia" w:asciiTheme="minorEastAsia" w:hAnsiTheme="minorEastAsia" w:eastAsiaTheme="minorEastAsia" w:cstheme="minorEastAsia"/>
        </w:rPr>
        <w:t>出具的资信证明复印件，上述证明材料真实有效，否则我方负全部责任。</w:t>
      </w:r>
    </w:p>
    <w:p w14:paraId="4D7E92F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9E2D9C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7B1B6F1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2、投标人提供的财务报告复印件（成立年限按照投标截止时间推算）应符合下列规定：</w:t>
      </w:r>
    </w:p>
    <w:p w14:paraId="0D11E1F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2.1成立年限满1年及以上的投标人，提供经审计的招标文件规定的年度财务报告。</w:t>
      </w:r>
    </w:p>
    <w:p w14:paraId="54BC647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2.2成立年限满半年但不足1年的投标人，提供该半年度中任一季度的季度财务报告或该半年度的半年度财务报告。</w:t>
      </w:r>
    </w:p>
    <w:p w14:paraId="72813B1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4DBCDA0">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179951D">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B49392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page"/>
      </w:r>
    </w:p>
    <w:p w14:paraId="43D93F5F">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依法缴纳税收证明材料</w:t>
      </w:r>
    </w:p>
    <w:p w14:paraId="45DF7BA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3B02BE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1、依法缴纳税收的投标人</w:t>
      </w:r>
    </w:p>
    <w:p w14:paraId="748074F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21EF9CE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21D114C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6B41CCC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0F874D2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2、依法免税的投标人</w:t>
      </w:r>
    </w:p>
    <w:p w14:paraId="7275297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）现附上我方依法免税的证明材料复印件，上述证明材料真实有效，否则我方负全部责任。</w:t>
      </w:r>
    </w:p>
    <w:p w14:paraId="0D09E10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9D17C3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32D7B88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2、投标人提供的税收缴纳凭据复印件应符合下列规定：</w:t>
      </w:r>
    </w:p>
    <w:p w14:paraId="287DE46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2.1投标截止时间前（不含投标截止时间的当月）已依法缴纳税收的投标人，提供投标截止时间前六个月（不含投标截止时间的当月）中任一月份的税收缴纳凭据复印件。</w:t>
      </w:r>
    </w:p>
    <w:p w14:paraId="0140692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7B3DB4E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3、若为依法免税范围的投标人，提供依法免税证明材料的，视同满足本项资格条件要求。</w:t>
      </w:r>
    </w:p>
    <w:p w14:paraId="1137C9DD">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91791DA">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7C6793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D4D7980">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依法缴纳社会保障资金证明材料</w:t>
      </w:r>
    </w:p>
    <w:p w14:paraId="372CD2D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4EB01BC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1、依法缴纳社会保障资金的投标人</w:t>
      </w:r>
    </w:p>
    <w:p w14:paraId="58DEF79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59EFCB9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6D17309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451D2EC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685C36C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2、依法不需要缴纳或暂缓缴纳社会保障资金的投标人</w:t>
      </w:r>
    </w:p>
    <w:p w14:paraId="30BE07C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）现附上我方依法不需要缴纳或暂缓缴纳社会保障资金证明材料复印件，上述证明材料真实有效，否则我方负全部责任。</w:t>
      </w:r>
    </w:p>
    <w:p w14:paraId="5BCC33D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7A57A4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341E99E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2、投标人提供的社会保障资金缴纳凭据复印件应符合下列规定：</w:t>
      </w:r>
    </w:p>
    <w:p w14:paraId="657ED9B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2.1投标截止时间前（不含投标截止时间的当月）已依法缴纳社会保障资金的投标人，提供投标截止时间前六个月（不含投标截止时间的当月）中任一月份的社会保障资金缴纳凭据复印件。</w:t>
      </w:r>
    </w:p>
    <w:p w14:paraId="51E464E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0BFFD64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3、若为依法不需要缴纳或暂缓缴纳社会保障资金的投标人，提供依法不需要缴纳或暂缓缴纳社会保障资金证明材料的，视同满足本项资格条件要求。</w:t>
      </w:r>
    </w:p>
    <w:p w14:paraId="1B8BC316">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701C9D9">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12E49A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4A0C4CC">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具备履行合同所必需设备和专业技术能力的声明函（若有）</w:t>
      </w:r>
    </w:p>
    <w:p w14:paraId="0CA0983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0746B9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我方具备履行合同所必需的设备和专业技术能力，否则产生不利后果由我方承担责任。</w:t>
      </w:r>
    </w:p>
    <w:p w14:paraId="15376792">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00E4C1F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A76249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1、招标文件未要求投标人提供“具备履行合同所必需的设备和专业技术能力专项证明材料”的，投标人应提供本声明函。</w:t>
      </w:r>
    </w:p>
    <w:p w14:paraId="77521AB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2、招标文件要求投标人提供“具备履行合同所必需的设备和专业技术能力专项证明材料”的，投标人可不提供本声明函。</w:t>
      </w:r>
    </w:p>
    <w:p w14:paraId="57D0BB8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3、请投标人根据实际情况如实声明，否则视为提供虚假材料。</w:t>
      </w:r>
    </w:p>
    <w:p w14:paraId="2EFEEBE3">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E2E917F">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C686B6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ABFB72F">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参加采购活动前三年内在经营活动中没有重大违法记录书面声明</w:t>
      </w:r>
    </w:p>
    <w:p w14:paraId="76F3C99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95D231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参加采购活动前三年内，我方在经营活动中没有重大违法记录，即没有因违法经营受到刑事处罚或责令停产停业、吊销许可证或执照、较大数额罚款等行政处罚。否则产生不利后果由我方承担责任。</w:t>
      </w:r>
    </w:p>
    <w:p w14:paraId="6219D06A">
      <w:pPr>
        <w:pStyle w:val="7"/>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3133E78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63CEFF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2C1194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请投标人根据实际情况如实声明，否则视为提供虚假材料。</w:t>
      </w:r>
    </w:p>
    <w:p w14:paraId="7ECD3EBF">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4F8825A">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AE8451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E909844">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二-3信用记录查询提示</w:t>
      </w:r>
    </w:p>
    <w:p w14:paraId="1E2F5C0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1、由资格审查小组通过网站查询并打印投标人的信用记录。</w:t>
      </w:r>
    </w:p>
    <w:p w14:paraId="0885A90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AE311C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4A6BA1E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9A15E2F">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二-4中小企业声明函</w:t>
      </w:r>
    </w:p>
    <w:p w14:paraId="27B9CF5F">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723F2D64">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68099F7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6996315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DDCA9A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5113037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5BD8FF5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32E9AB3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35A878EB">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F98F3DA">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7F4DD6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0427A9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55EA6FA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F334DB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079E2C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EB5159C">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1C30E73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257B07F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2A68EDC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28E6D86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4D83DF4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3FA4703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1031513B">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A0CD299">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BEDA87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EE8BBE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62F8A82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D3AFE7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B5EE76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E291926">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w:t>
      </w:r>
    </w:p>
    <w:p w14:paraId="081AB318">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11955FC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C23140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0715A3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67C5305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52327BE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0B86E03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563CBDB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2FA156B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50ACD25A">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05E4983">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1D38F52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5F5F5F18">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67D7CFA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79FD9B1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DB1D943">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二-5联合体协议（若有）</w:t>
      </w:r>
    </w:p>
    <w:p w14:paraId="011D648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F7F605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w:t>
      </w:r>
      <w:r>
        <w:rPr>
          <w:rFonts w:hint="eastAsia" w:asciiTheme="minorEastAsia" w:hAnsiTheme="minorEastAsia" w:eastAsiaTheme="minorEastAsia" w:cstheme="minorEastAsia"/>
          <w:u w:val="single"/>
        </w:rPr>
        <w:t>（填写“联合体中各方的全称”，各方的全称之间请用“、”分割）</w:t>
      </w:r>
      <w:r>
        <w:rPr>
          <w:rFonts w:hint="eastAsia" w:asciiTheme="minorEastAsia" w:hAnsiTheme="minorEastAsia" w:eastAsiaTheme="minorEastAsia" w:cstheme="minorEastAsia"/>
        </w:rPr>
        <w:t>自愿组成联合体，共同参加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）的投标。现就联合体参加本项目投标的有关事宜达成下列协议：</w:t>
      </w:r>
    </w:p>
    <w:p w14:paraId="5B860CE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一、联合体各方应承担的工作和义务具体如下：</w:t>
      </w:r>
    </w:p>
    <w:p w14:paraId="79DEE4E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1、牵头方（全称）：</w:t>
      </w:r>
      <w:r>
        <w:rPr>
          <w:rFonts w:hint="eastAsia" w:asciiTheme="minorEastAsia" w:hAnsiTheme="minorEastAsia" w:eastAsiaTheme="minorEastAsia" w:cstheme="minorEastAsia"/>
          <w:u w:val="single"/>
        </w:rPr>
        <w:t xml:space="preserve">（填写“工作及义务的具体内容”） </w:t>
      </w:r>
      <w:r>
        <w:rPr>
          <w:rFonts w:hint="eastAsia" w:asciiTheme="minorEastAsia" w:hAnsiTheme="minorEastAsia" w:eastAsiaTheme="minorEastAsia" w:cstheme="minorEastAsia"/>
        </w:rPr>
        <w:t>；</w:t>
      </w:r>
    </w:p>
    <w:p w14:paraId="79AD040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72BEFCE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2.1（成员一的全称）：</w:t>
      </w:r>
      <w:r>
        <w:rPr>
          <w:rFonts w:hint="eastAsia" w:asciiTheme="minorEastAsia" w:hAnsiTheme="minorEastAsia" w:eastAsiaTheme="minorEastAsia" w:cstheme="minorEastAsia"/>
          <w:u w:val="single"/>
        </w:rPr>
        <w:t>（填写“工作及义务的具体内容”）</w:t>
      </w:r>
      <w:r>
        <w:rPr>
          <w:rFonts w:hint="eastAsia" w:asciiTheme="minorEastAsia" w:hAnsiTheme="minorEastAsia" w:eastAsiaTheme="minorEastAsia" w:cstheme="minorEastAsia"/>
        </w:rPr>
        <w:t xml:space="preserve"> ；</w:t>
      </w:r>
    </w:p>
    <w:p w14:paraId="2F2013F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52986E7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二、联合体各方的合同金额占比，具体如下：</w:t>
      </w:r>
    </w:p>
    <w:p w14:paraId="25C5D72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w:t>
      </w:r>
      <w:r>
        <w:rPr>
          <w:rFonts w:hint="eastAsia" w:asciiTheme="minorEastAsia" w:hAnsiTheme="minorEastAsia" w:eastAsiaTheme="minorEastAsia" w:cstheme="minorEastAsia"/>
          <w:u w:val="single"/>
        </w:rPr>
        <w:t xml:space="preserve"> 全称</w:t>
      </w:r>
      <w:r>
        <w:rPr>
          <w:rFonts w:hint="eastAsia" w:asciiTheme="minorEastAsia" w:hAnsiTheme="minorEastAsia" w:eastAsiaTheme="minorEastAsia" w:cstheme="minorEastAsia"/>
        </w:rPr>
        <w:t xml:space="preserve"> ）的合同金额占合同总额的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3B6638F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0AF2632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w:t>
      </w:r>
      <w:r>
        <w:rPr>
          <w:rFonts w:hint="eastAsia" w:asciiTheme="minorEastAsia" w:hAnsiTheme="minorEastAsia" w:eastAsiaTheme="minorEastAsia" w:cstheme="minorEastAsia"/>
          <w:u w:val="single"/>
        </w:rPr>
        <w:t xml:space="preserve"> 成员1的全称 </w:t>
      </w:r>
      <w:r>
        <w:rPr>
          <w:rFonts w:hint="eastAsia" w:asciiTheme="minorEastAsia" w:hAnsiTheme="minorEastAsia" w:eastAsiaTheme="minorEastAsia" w:cstheme="minorEastAsia"/>
        </w:rPr>
        <w:t>）的合同金额占合同总额的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440519F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2D67E93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三、联合体各方约定：</w:t>
      </w:r>
    </w:p>
    <w:p w14:paraId="3468665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w:t>
      </w:r>
      <w:r>
        <w:rPr>
          <w:rFonts w:hint="eastAsia" w:asciiTheme="minorEastAsia" w:hAnsiTheme="minorEastAsia" w:eastAsiaTheme="minorEastAsia" w:cstheme="minorEastAsia"/>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5881371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2、联合体各方约定由</w:t>
      </w:r>
      <w:r>
        <w:rPr>
          <w:rFonts w:hint="eastAsia" w:asciiTheme="minorEastAsia" w:hAnsiTheme="minorEastAsia" w:eastAsiaTheme="minorEastAsia" w:cstheme="minorEastAsia"/>
          <w:u w:val="single"/>
        </w:rPr>
        <w:t>（填写“牵头方的全称”）代表联合体办理投标保证金事宜。</w:t>
      </w:r>
    </w:p>
    <w:p w14:paraId="2B4E566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5B0833C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四、若中标，牵头方将代表联合体与采购人就合同签订事宜进行协商；若协商一致，则联合体各方将共同与采购人签订政府采购合同，并就政府采购合同约定的事项对采购人承担连带责任。</w:t>
      </w:r>
    </w:p>
    <w:p w14:paraId="21A288D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五、本协议自签署之日起生效，政府采购合同履行完毕后自动失效。</w:t>
      </w:r>
    </w:p>
    <w:p w14:paraId="51EBECE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六、本协议一式</w:t>
      </w:r>
      <w:r>
        <w:rPr>
          <w:rFonts w:hint="eastAsia" w:asciiTheme="minorEastAsia" w:hAnsiTheme="minorEastAsia" w:eastAsiaTheme="minorEastAsia" w:cstheme="minorEastAsia"/>
          <w:u w:val="single"/>
        </w:rPr>
        <w:t>（填写具体份数）</w:t>
      </w:r>
      <w:r>
        <w:rPr>
          <w:rFonts w:hint="eastAsia" w:asciiTheme="minorEastAsia" w:hAnsiTheme="minorEastAsia" w:eastAsiaTheme="minorEastAsia" w:cstheme="minorEastAsia"/>
        </w:rPr>
        <w:t>份，联合体各方各执一份，电子投标文件中提交一份。</w:t>
      </w:r>
    </w:p>
    <w:p w14:paraId="4790D33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25D1919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牵头方：</w:t>
      </w:r>
      <w:r>
        <w:rPr>
          <w:rFonts w:hint="eastAsia" w:asciiTheme="minorEastAsia" w:hAnsiTheme="minorEastAsia" w:eastAsiaTheme="minorEastAsia" w:cstheme="minorEastAsia"/>
          <w:u w:val="single"/>
        </w:rPr>
        <w:t>（全称并加盖单位公章）</w:t>
      </w:r>
    </w:p>
    <w:p w14:paraId="622F7C1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725024C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成员一：</w:t>
      </w:r>
      <w:r>
        <w:rPr>
          <w:rFonts w:hint="eastAsia" w:asciiTheme="minorEastAsia" w:hAnsiTheme="minorEastAsia" w:eastAsiaTheme="minorEastAsia" w:cstheme="minorEastAsia"/>
          <w:u w:val="single"/>
        </w:rPr>
        <w:t>（全称并加盖成员一的单位公章）</w:t>
      </w:r>
    </w:p>
    <w:p w14:paraId="127B5BC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6AE40F6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0DF320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w:t>
      </w:r>
      <w:r>
        <w:rPr>
          <w:rFonts w:hint="eastAsia" w:asciiTheme="minorEastAsia" w:hAnsiTheme="minorEastAsia" w:eastAsiaTheme="minorEastAsia" w:cstheme="minorEastAsia"/>
          <w:u w:val="single"/>
        </w:rPr>
        <w:t>（全称并加盖成员**的单位公章）</w:t>
      </w:r>
    </w:p>
    <w:p w14:paraId="1AFE4CA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4364C070">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w:t>
      </w:r>
      <w:r>
        <w:rPr>
          <w:rFonts w:hint="eastAsia" w:asciiTheme="minorEastAsia" w:hAnsiTheme="minorEastAsia" w:eastAsiaTheme="minorEastAsia" w:cstheme="minorEastAsia"/>
          <w:u w:val="single"/>
        </w:rPr>
        <w:t>　　年　　月　　日</w:t>
      </w:r>
    </w:p>
    <w:p w14:paraId="1DA87BC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CD40E6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1、招标文件接受联合体投标且投标人为联合体的，投标人应提供本协议；否则无须提供。</w:t>
      </w:r>
    </w:p>
    <w:p w14:paraId="43F35A6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68485B5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3、在以联合体形式落实中小企业预留份额项目中，投标人除了要提供《中小企业声明函》，还需提供本协议。</w:t>
      </w:r>
    </w:p>
    <w:p w14:paraId="5D03104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1376655">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二-6分包意向协议（若有）</w:t>
      </w:r>
    </w:p>
    <w:p w14:paraId="6694B64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甲方（总包方）：</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（即本项目的投标人）</w:t>
      </w:r>
    </w:p>
    <w:p w14:paraId="4DB9E2A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乙方（分包方）：</w:t>
      </w:r>
      <w:r>
        <w:rPr>
          <w:rFonts w:hint="eastAsia" w:asciiTheme="minorEastAsia" w:hAnsiTheme="minorEastAsia" w:eastAsiaTheme="minorEastAsia" w:cstheme="minorEastAsia"/>
          <w:u w:val="single"/>
        </w:rPr>
        <w:t>　　　　　　　</w:t>
      </w:r>
    </w:p>
    <w:p w14:paraId="5CE3F6F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兹有甲方参加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）的政府采购活动。甲方期望将采购项目的部分采购标的分包给乙方完成，而乙方保证能够向甲方提供本协议项下的采购标的，甲、乙双方就合同分包的有关事宜达成下列协议：</w:t>
      </w:r>
    </w:p>
    <w:p w14:paraId="1756B3E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一、分包标的</w:t>
      </w:r>
    </w:p>
    <w:p w14:paraId="50CFF3D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u w:val="single"/>
        </w:rPr>
        <w:t>（根据双方的意向填写，可以是表格或文字描述）。</w:t>
      </w:r>
    </w:p>
    <w:p w14:paraId="6E85558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二、分包合同金额占比</w:t>
      </w:r>
    </w:p>
    <w:p w14:paraId="6D411DA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分包合同价占投标总价的比例：</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4BF68C1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三、其他条款</w:t>
      </w:r>
    </w:p>
    <w:p w14:paraId="626544C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27"/>
        <w:gridCol w:w="4927"/>
      </w:tblGrid>
      <w:tr w14:paraId="1E524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10B70B4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w:t>
            </w:r>
          </w:p>
        </w:tc>
        <w:tc>
          <w:tcPr>
            <w:tcW w:w="2500" w:type="pct"/>
          </w:tcPr>
          <w:p w14:paraId="78138FB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w:t>
            </w:r>
          </w:p>
        </w:tc>
      </w:tr>
      <w:tr w14:paraId="5D02D5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094FB1D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c>
          <w:tcPr>
            <w:tcW w:w="2500" w:type="pct"/>
          </w:tcPr>
          <w:p w14:paraId="6D67490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r>
      <w:tr w14:paraId="723F5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27FAD2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c>
          <w:tcPr>
            <w:tcW w:w="2500" w:type="pct"/>
          </w:tcPr>
          <w:p w14:paraId="0517CAC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r>
      <w:tr w14:paraId="54DF51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2FA9709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c>
          <w:tcPr>
            <w:tcW w:w="2500" w:type="pct"/>
          </w:tcPr>
          <w:p w14:paraId="4332593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r>
      <w:tr w14:paraId="702CF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7C12D9F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c>
          <w:tcPr>
            <w:tcW w:w="2500" w:type="pct"/>
          </w:tcPr>
          <w:p w14:paraId="6C14FAE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r>
      <w:tr w14:paraId="4F529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00" w:type="pct"/>
          </w:tcPr>
          <w:p w14:paraId="7D7BA88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c>
          <w:tcPr>
            <w:tcW w:w="2500" w:type="pct"/>
          </w:tcPr>
          <w:p w14:paraId="3140B34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r>
      <w:tr w14:paraId="3DE864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2"/>
          </w:tcPr>
          <w:p w14:paraId="63AFD4F1">
            <w:pPr>
              <w:pStyle w:val="7"/>
              <w:spacing w:line="360" w:lineRule="auto"/>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签订地点：</w:t>
            </w:r>
            <w:r>
              <w:rPr>
                <w:rFonts w:hint="eastAsia" w:asciiTheme="minorEastAsia" w:hAnsiTheme="minorEastAsia" w:eastAsiaTheme="minorEastAsia" w:cstheme="minorEastAsia"/>
                <w:u w:val="single"/>
              </w:rPr>
              <w:t>　　　　　　　　　　</w:t>
            </w:r>
          </w:p>
          <w:p w14:paraId="05E8061F">
            <w:pPr>
              <w:pStyle w:val="7"/>
              <w:spacing w:line="360" w:lineRule="auto"/>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签约日期：</w:t>
            </w:r>
            <w:r>
              <w:rPr>
                <w:rFonts w:hint="eastAsia" w:asciiTheme="minorEastAsia" w:hAnsiTheme="minorEastAsia" w:eastAsiaTheme="minorEastAsia" w:cstheme="minorEastAsia"/>
                <w:u w:val="single"/>
              </w:rPr>
              <w:t>　　年　　月　　日</w:t>
            </w:r>
          </w:p>
        </w:tc>
      </w:tr>
    </w:tbl>
    <w:p w14:paraId="5C495E1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296CC9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1.招标文件接受合同分包且投标人拟将合同分包的，应提供本协议；否则无须提供。</w:t>
      </w:r>
    </w:p>
    <w:p w14:paraId="35F2088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07634AF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3.在以合同分包形式落实中小企业预留份额项目中，投标人除了要提供《中小企业声明函》，还需提供本协议。</w:t>
      </w:r>
    </w:p>
    <w:p w14:paraId="05696AE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252F3C3">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二-7其他资格证明文件（若有）</w:t>
      </w:r>
    </w:p>
    <w:p w14:paraId="6C1DCE7C">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二-7-①招标文件规定的其他资格证明文件（若有）</w:t>
      </w:r>
    </w:p>
    <w:p w14:paraId="49D5DE92">
      <w:pPr>
        <w:pStyle w:val="7"/>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7E2D2E2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除招标文件另有规定外，招标文件要求提交的除前述资格证明文件外的其他资格证明文件（若有）加盖投标人的单位公章后应在此项下提交。</w:t>
      </w:r>
    </w:p>
    <w:p w14:paraId="7A492B85">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2B2A11A">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三、投标保证金</w:t>
      </w:r>
    </w:p>
    <w:p w14:paraId="3885769E">
      <w:pPr>
        <w:pStyle w:val="7"/>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75D80C2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1、在此项下提交的“投标保证金”材料可使用转账凭证复印件或从福建省政府采购网上公开信息系统中下载的有关原始页面的打印件。</w:t>
      </w:r>
    </w:p>
    <w:p w14:paraId="05E37E4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2、投标保证金是否已提交的认定按照招标文件第三章规定执行。</w:t>
      </w:r>
    </w:p>
    <w:p w14:paraId="509E4CC5">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D938E94">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封面格式(报价部分)</w:t>
      </w:r>
    </w:p>
    <w:p w14:paraId="78457E9D">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01779CED">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（报价部分）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420CE6C2">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71ED600A">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0B53E587">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226F39C0">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4E77AC38">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1C9786E1">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4F483914">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5811FEAB">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E825F0C">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5259CDD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一、开标（报价）一览表</w:t>
      </w:r>
    </w:p>
    <w:p w14:paraId="7C753D7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二、投标（响应）报价明细表</w:t>
      </w:r>
    </w:p>
    <w:p w14:paraId="0C8516B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三、招标文件规定的价格扣除证明材料（若有）</w:t>
      </w:r>
    </w:p>
    <w:p w14:paraId="3A9BC79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9ECED80">
      <w:pPr>
        <w:pStyle w:val="7"/>
        <w:spacing w:line="360" w:lineRule="auto"/>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开标（报价）一览表</w:t>
      </w:r>
    </w:p>
    <w:p w14:paraId="4746E610">
      <w:pPr>
        <w:pStyle w:val="7"/>
        <w:spacing w:line="360" w:lineRule="auto"/>
        <w:ind w:right="165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项目编号：[350001]MZZJ[GK]2026012-1</w:t>
      </w:r>
    </w:p>
    <w:p w14:paraId="69AD227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项目名称：福建省纤维检验中心2026年重点工业产品检验检测设备更新项目-第二批(二次)</w:t>
      </w:r>
    </w:p>
    <w:p w14:paraId="2286889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采购包：1(电感耦合等离子体发射光谱仪、电感耦合等离子体质谱仪)</w:t>
      </w:r>
    </w:p>
    <w:p w14:paraId="542A0C1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投标人（供应商）名称：</w:t>
      </w:r>
    </w:p>
    <w:p w14:paraId="74050346">
      <w:pPr>
        <w:pStyle w:val="7"/>
        <w:spacing w:line="360" w:lineRule="auto"/>
        <w:jc w:val="left"/>
        <w:rPr>
          <w:rFonts w:hint="eastAsia" w:asciiTheme="minorEastAsia" w:hAnsiTheme="minorEastAsia" w:eastAsiaTheme="minorEastAsia" w:cstheme="minorEastAsia"/>
        </w:rPr>
      </w:pP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9"/>
        <w:gridCol w:w="1969"/>
        <w:gridCol w:w="1970"/>
        <w:gridCol w:w="1970"/>
        <w:gridCol w:w="1970"/>
      </w:tblGrid>
      <w:tr w14:paraId="4EC8A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1E6A0BB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000" w:type="pct"/>
          </w:tcPr>
          <w:p w14:paraId="1B034D5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报价内容</w:t>
            </w:r>
          </w:p>
        </w:tc>
        <w:tc>
          <w:tcPr>
            <w:tcW w:w="1000" w:type="pct"/>
          </w:tcPr>
          <w:p w14:paraId="5616FD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1000" w:type="pct"/>
          </w:tcPr>
          <w:p w14:paraId="0CBB41E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响应报价</w:t>
            </w:r>
          </w:p>
        </w:tc>
        <w:tc>
          <w:tcPr>
            <w:tcW w:w="1000" w:type="pct"/>
          </w:tcPr>
          <w:p w14:paraId="4F94DE7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价款形式</w:t>
            </w:r>
          </w:p>
        </w:tc>
      </w:tr>
      <w:tr w14:paraId="289A6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7F53476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1000" w:type="pct"/>
          </w:tcPr>
          <w:p w14:paraId="44D1052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电感耦合等离子体发射光谱仪、电感耦合等离子体质谱仪</w:t>
            </w:r>
          </w:p>
        </w:tc>
        <w:tc>
          <w:tcPr>
            <w:tcW w:w="1000" w:type="pct"/>
          </w:tcPr>
          <w:p w14:paraId="4AACDA5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2150000  元</w:t>
            </w:r>
          </w:p>
        </w:tc>
        <w:tc>
          <w:tcPr>
            <w:tcW w:w="1000" w:type="pct"/>
          </w:tcPr>
          <w:p w14:paraId="1C5D473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「汇总引用」  元</w:t>
            </w:r>
          </w:p>
        </w:tc>
        <w:tc>
          <w:tcPr>
            <w:tcW w:w="1000" w:type="pct"/>
          </w:tcPr>
          <w:p w14:paraId="65CCAB3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r>
    </w:tbl>
    <w:p w14:paraId="478E62A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3EEBC6F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01DE800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23A351E4">
      <w:pPr>
        <w:pStyle w:val="7"/>
        <w:spacing w:line="360" w:lineRule="auto"/>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投标（响应）报价明细表</w:t>
      </w:r>
    </w:p>
    <w:p w14:paraId="77A1F6E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项目编号：[350001]MZZJ[GK]2026012-1</w:t>
      </w:r>
    </w:p>
    <w:p w14:paraId="72C4504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项目名称：福建省纤维检验中心2026年重点工业产品检验检测设备更新项目-第二批(二次)</w:t>
      </w:r>
    </w:p>
    <w:p w14:paraId="62894B1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采购包：电感耦合等离子体发射光谱仪、电感耦合等离子体质谱仪</w:t>
      </w:r>
    </w:p>
    <w:p w14:paraId="6EED4A4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投标人名称：</w:t>
      </w:r>
    </w:p>
    <w:p w14:paraId="2271329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电感耦合等离子体发射光谱仪</w:t>
      </w:r>
    </w:p>
    <w:p w14:paraId="0F26F143">
      <w:pPr>
        <w:pStyle w:val="7"/>
        <w:spacing w:line="360" w:lineRule="auto"/>
        <w:jc w:val="left"/>
        <w:rPr>
          <w:rFonts w:hint="eastAsia" w:asciiTheme="minorEastAsia" w:hAnsiTheme="minorEastAsia" w:eastAsiaTheme="minorEastAsia" w:cstheme="minorEastAsia"/>
        </w:rPr>
      </w:pP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6"/>
        <w:gridCol w:w="727"/>
        <w:gridCol w:w="727"/>
        <w:gridCol w:w="727"/>
        <w:gridCol w:w="727"/>
        <w:gridCol w:w="727"/>
        <w:gridCol w:w="928"/>
        <w:gridCol w:w="727"/>
        <w:gridCol w:w="928"/>
        <w:gridCol w:w="727"/>
        <w:gridCol w:w="727"/>
        <w:gridCol w:w="727"/>
        <w:gridCol w:w="727"/>
      </w:tblGrid>
      <w:tr w14:paraId="7FE18D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8" w:type="pct"/>
          </w:tcPr>
          <w:p w14:paraId="5215B41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368" w:type="pct"/>
          </w:tcPr>
          <w:p w14:paraId="3B03D60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货物名称</w:t>
            </w:r>
          </w:p>
        </w:tc>
        <w:tc>
          <w:tcPr>
            <w:tcW w:w="368" w:type="pct"/>
          </w:tcPr>
          <w:p w14:paraId="7F6CB42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规格型号</w:t>
            </w:r>
          </w:p>
        </w:tc>
        <w:tc>
          <w:tcPr>
            <w:tcW w:w="368" w:type="pct"/>
          </w:tcPr>
          <w:p w14:paraId="4861A1D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w:t>
            </w:r>
          </w:p>
        </w:tc>
        <w:tc>
          <w:tcPr>
            <w:tcW w:w="368" w:type="pct"/>
          </w:tcPr>
          <w:p w14:paraId="302D6F8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制造商名称</w:t>
            </w:r>
          </w:p>
        </w:tc>
        <w:tc>
          <w:tcPr>
            <w:tcW w:w="368" w:type="pct"/>
          </w:tcPr>
          <w:p w14:paraId="5673402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产地</w:t>
            </w:r>
          </w:p>
        </w:tc>
        <w:tc>
          <w:tcPr>
            <w:tcW w:w="470" w:type="pct"/>
          </w:tcPr>
          <w:p w14:paraId="1531A2D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368" w:type="pct"/>
          </w:tcPr>
          <w:p w14:paraId="0589610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470" w:type="pct"/>
          </w:tcPr>
          <w:p w14:paraId="53AE84C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368" w:type="pct"/>
          </w:tcPr>
          <w:p w14:paraId="27A7768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368" w:type="pct"/>
          </w:tcPr>
          <w:p w14:paraId="7A6EC02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c>
          <w:tcPr>
            <w:tcW w:w="368" w:type="pct"/>
          </w:tcPr>
          <w:p w14:paraId="0BAC228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是否环境标志产品</w:t>
            </w:r>
          </w:p>
        </w:tc>
        <w:tc>
          <w:tcPr>
            <w:tcW w:w="368" w:type="pct"/>
          </w:tcPr>
          <w:p w14:paraId="174AEAA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是否节能产品</w:t>
            </w:r>
          </w:p>
        </w:tc>
      </w:tr>
      <w:tr w14:paraId="79A775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8" w:type="pct"/>
          </w:tcPr>
          <w:p w14:paraId="046BF9F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368" w:type="pct"/>
          </w:tcPr>
          <w:p w14:paraId="4573F0E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电感耦合等离子体发射光谱仪</w:t>
            </w:r>
          </w:p>
        </w:tc>
        <w:tc>
          <w:tcPr>
            <w:tcW w:w="368" w:type="pct"/>
          </w:tcPr>
          <w:p w14:paraId="11C1350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8" w:type="pct"/>
          </w:tcPr>
          <w:p w14:paraId="3475ABC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8" w:type="pct"/>
          </w:tcPr>
          <w:p w14:paraId="3871B59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8" w:type="pct"/>
          </w:tcPr>
          <w:p w14:paraId="5F4E495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470" w:type="pct"/>
          </w:tcPr>
          <w:p w14:paraId="6C487C3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700000  元</w:t>
            </w:r>
          </w:p>
        </w:tc>
        <w:tc>
          <w:tcPr>
            <w:tcW w:w="368" w:type="pct"/>
          </w:tcPr>
          <w:p w14:paraId="515459C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470" w:type="pct"/>
          </w:tcPr>
          <w:p w14:paraId="0010762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1.0000</w:t>
            </w:r>
          </w:p>
        </w:tc>
        <w:tc>
          <w:tcPr>
            <w:tcW w:w="368" w:type="pct"/>
          </w:tcPr>
          <w:p w14:paraId="28DBFB6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台</w:t>
            </w:r>
          </w:p>
        </w:tc>
        <w:tc>
          <w:tcPr>
            <w:tcW w:w="368" w:type="pct"/>
          </w:tcPr>
          <w:p w14:paraId="275DAA9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c>
          <w:tcPr>
            <w:tcW w:w="368" w:type="pct"/>
          </w:tcPr>
          <w:p w14:paraId="694B892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368" w:type="pct"/>
          </w:tcPr>
          <w:p w14:paraId="516D90B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r>
    </w:tbl>
    <w:p w14:paraId="58CD243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14:paraId="5F9D0D2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2AEEA7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电感耦合等离子体质谱仪</w:t>
      </w:r>
    </w:p>
    <w:p w14:paraId="5445C3E8">
      <w:pPr>
        <w:pStyle w:val="7"/>
        <w:spacing w:line="360" w:lineRule="auto"/>
        <w:jc w:val="left"/>
        <w:rPr>
          <w:rFonts w:hint="eastAsia" w:asciiTheme="minorEastAsia" w:hAnsiTheme="minorEastAsia" w:eastAsiaTheme="minorEastAsia" w:cstheme="minorEastAsia"/>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0"/>
        <w:gridCol w:w="863"/>
        <w:gridCol w:w="729"/>
        <w:gridCol w:w="729"/>
        <w:gridCol w:w="729"/>
        <w:gridCol w:w="729"/>
        <w:gridCol w:w="1022"/>
        <w:gridCol w:w="814"/>
        <w:gridCol w:w="837"/>
        <w:gridCol w:w="565"/>
        <w:gridCol w:w="814"/>
        <w:gridCol w:w="814"/>
        <w:gridCol w:w="729"/>
      </w:tblGrid>
      <w:tr w14:paraId="468A1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9642D9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0" w:type="auto"/>
          </w:tcPr>
          <w:p w14:paraId="72C3B4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货物名称</w:t>
            </w:r>
          </w:p>
        </w:tc>
        <w:tc>
          <w:tcPr>
            <w:tcW w:w="0" w:type="auto"/>
          </w:tcPr>
          <w:p w14:paraId="34D1FAF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规格型号</w:t>
            </w:r>
          </w:p>
        </w:tc>
        <w:tc>
          <w:tcPr>
            <w:tcW w:w="0" w:type="auto"/>
          </w:tcPr>
          <w:p w14:paraId="32723EE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w:t>
            </w:r>
          </w:p>
        </w:tc>
        <w:tc>
          <w:tcPr>
            <w:tcW w:w="0" w:type="auto"/>
          </w:tcPr>
          <w:p w14:paraId="71768DB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制造商名称</w:t>
            </w:r>
          </w:p>
        </w:tc>
        <w:tc>
          <w:tcPr>
            <w:tcW w:w="0" w:type="auto"/>
          </w:tcPr>
          <w:p w14:paraId="6D6C0FA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产地</w:t>
            </w:r>
          </w:p>
        </w:tc>
        <w:tc>
          <w:tcPr>
            <w:tcW w:w="0" w:type="auto"/>
          </w:tcPr>
          <w:p w14:paraId="60EB7F7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0" w:type="auto"/>
          </w:tcPr>
          <w:p w14:paraId="3F4C30C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0" w:type="auto"/>
          </w:tcPr>
          <w:p w14:paraId="124BB3B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0" w:type="auto"/>
          </w:tcPr>
          <w:p w14:paraId="04B8734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0" w:type="auto"/>
          </w:tcPr>
          <w:p w14:paraId="76B7658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c>
          <w:tcPr>
            <w:tcW w:w="0" w:type="auto"/>
          </w:tcPr>
          <w:p w14:paraId="49F451C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是否环境标志产品</w:t>
            </w:r>
          </w:p>
        </w:tc>
        <w:tc>
          <w:tcPr>
            <w:tcW w:w="0" w:type="auto"/>
          </w:tcPr>
          <w:p w14:paraId="6414889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是否节能产品</w:t>
            </w:r>
          </w:p>
        </w:tc>
      </w:tr>
      <w:tr w14:paraId="6C779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FDF083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0" w:type="auto"/>
          </w:tcPr>
          <w:p w14:paraId="76585F0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电感耦合等离子体质谱仪</w:t>
            </w:r>
          </w:p>
        </w:tc>
        <w:tc>
          <w:tcPr>
            <w:tcW w:w="0" w:type="auto"/>
          </w:tcPr>
          <w:p w14:paraId="0052537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0" w:type="auto"/>
          </w:tcPr>
          <w:p w14:paraId="1AC00A5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0" w:type="auto"/>
          </w:tcPr>
          <w:p w14:paraId="422BEB0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0" w:type="auto"/>
          </w:tcPr>
          <w:p w14:paraId="7CD7A54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0" w:type="auto"/>
          </w:tcPr>
          <w:p w14:paraId="464B51A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1450000  元</w:t>
            </w:r>
          </w:p>
        </w:tc>
        <w:tc>
          <w:tcPr>
            <w:tcW w:w="0" w:type="auto"/>
          </w:tcPr>
          <w:p w14:paraId="75965CB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0" w:type="auto"/>
          </w:tcPr>
          <w:p w14:paraId="09A4608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1.0000</w:t>
            </w:r>
          </w:p>
        </w:tc>
        <w:tc>
          <w:tcPr>
            <w:tcW w:w="0" w:type="auto"/>
          </w:tcPr>
          <w:p w14:paraId="28F6190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台</w:t>
            </w:r>
          </w:p>
        </w:tc>
        <w:tc>
          <w:tcPr>
            <w:tcW w:w="0" w:type="auto"/>
          </w:tcPr>
          <w:p w14:paraId="76F573D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c>
          <w:tcPr>
            <w:tcW w:w="0" w:type="auto"/>
          </w:tcPr>
          <w:p w14:paraId="6BC9059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0" w:type="auto"/>
          </w:tcPr>
          <w:p w14:paraId="4FB91AA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r>
    </w:tbl>
    <w:p w14:paraId="509630B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14:paraId="10A012A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54420C9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359792C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1EC022AB">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3929A23">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三、招标文件规定的价格扣除证明材料（若有）</w:t>
      </w:r>
    </w:p>
    <w:p w14:paraId="679C2C4F">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三-1优先类节能产品、环境标志产品价格扣除证明材料（若有）</w:t>
      </w:r>
    </w:p>
    <w:p w14:paraId="700666D8">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三-1-①优先类节能产品、环境标志产品统计表（价格扣除适用，若有）</w:t>
      </w:r>
    </w:p>
    <w:p w14:paraId="336D06D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05"/>
        <w:gridCol w:w="1405"/>
        <w:gridCol w:w="1405"/>
        <w:gridCol w:w="1409"/>
        <w:gridCol w:w="4228"/>
      </w:tblGrid>
      <w:tr w14:paraId="6186F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3" w:type="pct"/>
          </w:tcPr>
          <w:p w14:paraId="68B8DCB7">
            <w:pPr>
              <w:spacing w:line="360" w:lineRule="auto"/>
              <w:rPr>
                <w:rFonts w:hint="eastAsia" w:asciiTheme="minorEastAsia" w:hAnsiTheme="minorEastAsia" w:eastAsiaTheme="minorEastAsia" w:cstheme="minorEastAsia"/>
              </w:rPr>
            </w:pPr>
          </w:p>
        </w:tc>
        <w:tc>
          <w:tcPr>
            <w:tcW w:w="4286" w:type="pct"/>
            <w:gridSpan w:val="4"/>
          </w:tcPr>
          <w:p w14:paraId="4DAC7A5D">
            <w:pPr>
              <w:pStyle w:val="7"/>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本采购包内属于节能、环境标志产品情况</w:t>
            </w:r>
          </w:p>
        </w:tc>
      </w:tr>
      <w:tr w14:paraId="467EE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144" w:type="pct"/>
        </w:trPr>
        <w:tc>
          <w:tcPr>
            <w:tcW w:w="713" w:type="pct"/>
          </w:tcPr>
          <w:p w14:paraId="2A4169C1">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713" w:type="pct"/>
          </w:tcPr>
          <w:p w14:paraId="63934D8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713" w:type="pct"/>
          </w:tcPr>
          <w:p w14:paraId="417F2F3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c>
          <w:tcPr>
            <w:tcW w:w="713" w:type="pct"/>
          </w:tcPr>
          <w:p w14:paraId="6C68713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认证种类</w:t>
            </w:r>
          </w:p>
        </w:tc>
      </w:tr>
      <w:tr w14:paraId="5E759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144" w:type="pct"/>
        </w:trPr>
        <w:tc>
          <w:tcPr>
            <w:tcW w:w="713" w:type="pct"/>
            <w:vMerge w:val="restart"/>
          </w:tcPr>
          <w:p w14:paraId="3D07E78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713" w:type="pct"/>
          </w:tcPr>
          <w:p w14:paraId="0BE9319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13" w:type="pct"/>
          </w:tcPr>
          <w:p w14:paraId="29B8D88F">
            <w:pPr>
              <w:spacing w:line="360" w:lineRule="auto"/>
              <w:rPr>
                <w:rFonts w:hint="eastAsia" w:asciiTheme="minorEastAsia" w:hAnsiTheme="minorEastAsia" w:eastAsiaTheme="minorEastAsia" w:cstheme="minorEastAsia"/>
              </w:rPr>
            </w:pPr>
          </w:p>
        </w:tc>
        <w:tc>
          <w:tcPr>
            <w:tcW w:w="713" w:type="pct"/>
          </w:tcPr>
          <w:p w14:paraId="72C09C5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供应商自行填写种类，并上传证明附件以便评审查看</w:t>
            </w:r>
          </w:p>
        </w:tc>
      </w:tr>
      <w:tr w14:paraId="34039E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144" w:type="pct"/>
        </w:trPr>
        <w:tc>
          <w:tcPr>
            <w:tcW w:w="713" w:type="pct"/>
            <w:vMerge w:val="continue"/>
          </w:tcPr>
          <w:p w14:paraId="0E0F91A1">
            <w:pPr>
              <w:spacing w:line="360" w:lineRule="auto"/>
              <w:rPr>
                <w:rFonts w:hint="eastAsia" w:asciiTheme="minorEastAsia" w:hAnsiTheme="minorEastAsia" w:eastAsiaTheme="minorEastAsia" w:cstheme="minorEastAsia"/>
              </w:rPr>
            </w:pPr>
          </w:p>
        </w:tc>
        <w:tc>
          <w:tcPr>
            <w:tcW w:w="713" w:type="pct"/>
          </w:tcPr>
          <w:p w14:paraId="4639048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FF689A6">
            <w:pPr>
              <w:pStyle w:val="7"/>
              <w:spacing w:line="360" w:lineRule="auto"/>
              <w:jc w:val="left"/>
              <w:rPr>
                <w:rFonts w:hint="eastAsia" w:asciiTheme="minorEastAsia" w:hAnsiTheme="minorEastAsia" w:eastAsiaTheme="minorEastAsia" w:cstheme="minorEastAsia"/>
              </w:rPr>
            </w:pPr>
          </w:p>
        </w:tc>
        <w:tc>
          <w:tcPr>
            <w:tcW w:w="713" w:type="pct"/>
          </w:tcPr>
          <w:p w14:paraId="4270044B">
            <w:pPr>
              <w:spacing w:line="360" w:lineRule="auto"/>
              <w:rPr>
                <w:rFonts w:hint="eastAsia" w:asciiTheme="minorEastAsia" w:hAnsiTheme="minorEastAsia" w:eastAsiaTheme="minorEastAsia" w:cstheme="minorEastAsia"/>
              </w:rPr>
            </w:pPr>
          </w:p>
        </w:tc>
        <w:tc>
          <w:tcPr>
            <w:tcW w:w="713" w:type="pct"/>
          </w:tcPr>
          <w:p w14:paraId="71D6632D">
            <w:pPr>
              <w:spacing w:line="360" w:lineRule="auto"/>
              <w:rPr>
                <w:rFonts w:hint="eastAsia" w:asciiTheme="minorEastAsia" w:hAnsiTheme="minorEastAsia" w:eastAsiaTheme="minorEastAsia" w:cstheme="minorEastAsia"/>
              </w:rPr>
            </w:pPr>
          </w:p>
        </w:tc>
      </w:tr>
      <w:tr w14:paraId="657700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2144" w:type="pct"/>
        </w:trPr>
        <w:tc>
          <w:tcPr>
            <w:tcW w:w="713" w:type="pct"/>
          </w:tcPr>
          <w:p w14:paraId="445D0EE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2141" w:type="pct"/>
            <w:gridSpan w:val="3"/>
          </w:tcPr>
          <w:p w14:paraId="45E3BDC3">
            <w:pPr>
              <w:pStyle w:val="7"/>
              <w:spacing w:line="360" w:lineRule="auto"/>
              <w:jc w:val="left"/>
              <w:rPr>
                <w:rFonts w:hint="eastAsia" w:asciiTheme="minorEastAsia" w:hAnsiTheme="minorEastAsia" w:eastAsiaTheme="minorEastAsia" w:cstheme="minorEastAsia"/>
              </w:rPr>
            </w:pPr>
          </w:p>
        </w:tc>
      </w:tr>
    </w:tbl>
    <w:p w14:paraId="5C294F5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604B1D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1、对节能、环境标志产品计算价格扣除时，只依据电子投标文件“投标（响应）报价明细表”以及“优先类节能产品、环境标志产品证明材料（价格扣除适用，若有）”。</w:t>
      </w:r>
    </w:p>
    <w:p w14:paraId="2DA209E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2、本表以采购包为单位，不同采购包请分别填写；同一采购包请按照其品目号顺序分别填写。</w:t>
      </w:r>
    </w:p>
    <w:p w14:paraId="41E0785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3、具体统计、计算：</w:t>
      </w:r>
    </w:p>
    <w:p w14:paraId="4CB2E6A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3.1同一品目中各认证证书不重复计算价格扣除。</w:t>
      </w:r>
    </w:p>
    <w:p w14:paraId="004325A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3.2计算结果若除不尽，可四舍五入保留到小数点后两位。</w:t>
      </w:r>
    </w:p>
    <w:p w14:paraId="4A31E27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3.3投标人(供应商)按照采购文件要求认真统计、计算。</w:t>
      </w:r>
    </w:p>
    <w:p w14:paraId="76119B5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3.4若无节能、环境标志产品，不填写本表。</w:t>
      </w:r>
    </w:p>
    <w:p w14:paraId="01B792D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3.5强制类节能产品不享受价格扣除。</w:t>
      </w:r>
    </w:p>
    <w:p w14:paraId="4F9987BD">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3FDD71D">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77EF83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82A2202">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三-1-②优先类节能产品、环境标志产品证明材料（价格扣除适用，若有）</w:t>
      </w:r>
    </w:p>
    <w:p w14:paraId="6A520F01">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三-2小型、微型企业产品等价格扣除证明材料（若有）</w:t>
      </w:r>
    </w:p>
    <w:p w14:paraId="1D62B2E9">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三-2-①中小企业声明函（价格扣除适用，若有）</w:t>
      </w:r>
    </w:p>
    <w:p w14:paraId="4C0773FB">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76D3141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3E4E63F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58003BA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5F0630E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3E72CD0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6BBBF97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115FDE73">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BB912B0">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61DFF8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0B85A6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0172A4F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0803AA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F325E0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3FAA613">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2642060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6F1F5BB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039F747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3172FE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4424496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67CF8CC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074426B8">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E2860B4">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427250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359733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54C13AC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BBCE92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F5CC68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79FE0EB">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三-2-②小型、微型企业等证明材料（价格扣除适用，若有）</w:t>
      </w:r>
    </w:p>
    <w:p w14:paraId="18CD627E">
      <w:pPr>
        <w:pStyle w:val="7"/>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0D7BB4F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1、投标人为监狱企业的，根据其提供的由省级以上监狱管理局、戒毒管理局（含新疆生产建设兵团）出具的属于监狱企业的证明文件进行认定，监狱企业视同小型、微型企业。</w:t>
      </w:r>
    </w:p>
    <w:p w14:paraId="7846E13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2、投标人为残疾人福利性单位的，根据其提供的《残疾人福利性单位声明函》（格式附后）进行认定，残疾人福利性单位视同小型、微型企业。残疾人福利性单位属于小型、微型企业的，不重复享受政策。</w:t>
      </w:r>
    </w:p>
    <w:p w14:paraId="137681C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3BBB83F2">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残疾人福利性单位声明函（价格扣除适用，若有）</w:t>
      </w:r>
    </w:p>
    <w:p w14:paraId="65F6401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466BA4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393C8CD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06F0FF5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0DE37FE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6582D5D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12708E0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03C3DFF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5B956593">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3DB9AA0A">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4378AC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935C767">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311E9EA3">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4551854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37149C4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7E3C48B">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三-3本国产品证明材料（若有）</w:t>
      </w:r>
    </w:p>
    <w:p w14:paraId="70119557">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三-3-①关于符合本国产品标准的声明函（价格扣除适用，若有）</w:t>
      </w:r>
    </w:p>
    <w:p w14:paraId="66C8CFF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本公司（单位）郑重声明，根据《国务院办公厅关于在政府采购中实施本国产品标准及相关政策的通知》（国办发〔2025〕34号）的规定，本公司（单位）提供的以下产品属于本国产品。具体情况如下：</w:t>
      </w:r>
    </w:p>
    <w:p w14:paraId="71D2C3E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名称1），生产厂为（厂名），厂址为（生产厂址）。（产品名称1）的中国境内生产的组件成本占比≥（规定比例）。（产品名称）的（关键组件）在中国境内生产。（产品名称）的（关键工序）在中国境内完成。</w:t>
      </w:r>
    </w:p>
    <w:p w14:paraId="39E5CE5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产品名称2），生产厂为（厂名），厂址为（生产厂址）。（产品名称2）的中国境内生产的组件成本占比≥（规定比例）。（产品名称2）的（关键组件）在中国境内生产。（产品名称2）的（关键工序）在中国境内完成。</w:t>
      </w:r>
    </w:p>
    <w:p w14:paraId="02AAEDCE">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105676F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本公司（单位）对上述声明内容的真实性负责。如有虚假，愿承担相应法律责任。</w:t>
      </w:r>
    </w:p>
    <w:p w14:paraId="37E6940A">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公司（单位）名称（盖章）：</w:t>
      </w:r>
    </w:p>
    <w:p w14:paraId="6A7B63E9">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0698B2CA">
      <w:pPr>
        <w:pStyle w:val="7"/>
        <w:pBdr>
          <w:bottom w:val="single" w:color="auto" w:sz="6" w:space="1"/>
          <w:between w:val="single" w:color="auto" w:sz="6" w:space="1"/>
        </w:pBdr>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1.产品如有型号，请在"产品名称"栏一并填写。</w:t>
      </w:r>
    </w:p>
    <w:p w14:paraId="23727D3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2.生产厂名与厂址应与生产厂营业执照载明的相关信息保持一致。</w:t>
      </w:r>
    </w:p>
    <w:p w14:paraId="63682F0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3.该产品的中国境内生产的组件成本占比相关要求实施前，"规定比例"栏可不填，下同。</w:t>
      </w:r>
    </w:p>
    <w:p w14:paraId="57AD661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4.该产品的关键组件要求实施前，"关键组件"栏可不填，下同。</w:t>
      </w:r>
    </w:p>
    <w:p w14:paraId="1EEB5CA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5.该产品的关键工序要求实施前，"关键工序"栏可不填，下同。</w:t>
      </w:r>
    </w:p>
    <w:p w14:paraId="17B5304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1EB9E26">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三-3-②《本国产品说明》（价格扣除适用，若有）</w:t>
      </w:r>
    </w:p>
    <w:p w14:paraId="62DEFEE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62"/>
        <w:gridCol w:w="2462"/>
        <w:gridCol w:w="2463"/>
        <w:gridCol w:w="2463"/>
      </w:tblGrid>
      <w:tr w14:paraId="29784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0B9DDBE9">
            <w:pPr>
              <w:pStyle w:val="7"/>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1250" w:type="pct"/>
          </w:tcPr>
          <w:p w14:paraId="550482F1">
            <w:pPr>
              <w:pStyle w:val="7"/>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采购文件要求的产品名称</w:t>
            </w:r>
          </w:p>
        </w:tc>
        <w:tc>
          <w:tcPr>
            <w:tcW w:w="1250" w:type="pct"/>
          </w:tcPr>
          <w:p w14:paraId="6D1FDCB6">
            <w:pPr>
              <w:pStyle w:val="7"/>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响应文件中响应的主要产品/技术名称(规格型号)</w:t>
            </w:r>
          </w:p>
        </w:tc>
        <w:tc>
          <w:tcPr>
            <w:tcW w:w="1250" w:type="pct"/>
          </w:tcPr>
          <w:p w14:paraId="371F4548">
            <w:pPr>
              <w:pStyle w:val="7"/>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响应的产品是否为本国产品</w:t>
            </w:r>
          </w:p>
          <w:p w14:paraId="66990D21">
            <w:pPr>
              <w:pStyle w:val="7"/>
              <w:spacing w:line="360" w:lineRule="auto"/>
              <w:jc w:val="center"/>
              <w:rPr>
                <w:rFonts w:hint="eastAsia" w:asciiTheme="minorEastAsia" w:hAnsiTheme="minorEastAsia" w:eastAsiaTheme="minorEastAsia" w:cstheme="minorEastAsia"/>
              </w:rPr>
            </w:pPr>
          </w:p>
        </w:tc>
      </w:tr>
      <w:tr w14:paraId="11757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2C40CB7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250" w:type="pct"/>
          </w:tcPr>
          <w:p w14:paraId="5379C3BD">
            <w:pPr>
              <w:spacing w:line="360" w:lineRule="auto"/>
              <w:rPr>
                <w:rFonts w:hint="eastAsia" w:asciiTheme="minorEastAsia" w:hAnsiTheme="minorEastAsia" w:eastAsiaTheme="minorEastAsia" w:cstheme="minorEastAsia"/>
              </w:rPr>
            </w:pPr>
          </w:p>
        </w:tc>
        <w:tc>
          <w:tcPr>
            <w:tcW w:w="1250" w:type="pct"/>
          </w:tcPr>
          <w:p w14:paraId="7BF29AC9">
            <w:pPr>
              <w:spacing w:line="360" w:lineRule="auto"/>
              <w:rPr>
                <w:rFonts w:hint="eastAsia" w:asciiTheme="minorEastAsia" w:hAnsiTheme="minorEastAsia" w:eastAsiaTheme="minorEastAsia" w:cstheme="minorEastAsia"/>
              </w:rPr>
            </w:pPr>
          </w:p>
        </w:tc>
        <w:tc>
          <w:tcPr>
            <w:tcW w:w="1250" w:type="pct"/>
          </w:tcPr>
          <w:p w14:paraId="382A4496">
            <w:pPr>
              <w:spacing w:line="360" w:lineRule="auto"/>
              <w:rPr>
                <w:rFonts w:hint="eastAsia" w:asciiTheme="minorEastAsia" w:hAnsiTheme="minorEastAsia" w:eastAsiaTheme="minorEastAsia" w:cstheme="minorEastAsia"/>
              </w:rPr>
            </w:pPr>
          </w:p>
        </w:tc>
      </w:tr>
      <w:tr w14:paraId="24556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14FC70E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250" w:type="pct"/>
          </w:tcPr>
          <w:p w14:paraId="5EB2AA4F">
            <w:pPr>
              <w:spacing w:line="360" w:lineRule="auto"/>
              <w:rPr>
                <w:rFonts w:hint="eastAsia" w:asciiTheme="minorEastAsia" w:hAnsiTheme="minorEastAsia" w:eastAsiaTheme="minorEastAsia" w:cstheme="minorEastAsia"/>
              </w:rPr>
            </w:pPr>
          </w:p>
        </w:tc>
        <w:tc>
          <w:tcPr>
            <w:tcW w:w="1250" w:type="pct"/>
          </w:tcPr>
          <w:p w14:paraId="783F3728">
            <w:pPr>
              <w:spacing w:line="360" w:lineRule="auto"/>
              <w:rPr>
                <w:rFonts w:hint="eastAsia" w:asciiTheme="minorEastAsia" w:hAnsiTheme="minorEastAsia" w:eastAsiaTheme="minorEastAsia" w:cstheme="minorEastAsia"/>
              </w:rPr>
            </w:pPr>
          </w:p>
        </w:tc>
        <w:tc>
          <w:tcPr>
            <w:tcW w:w="1250" w:type="pct"/>
          </w:tcPr>
          <w:p w14:paraId="041F56DE">
            <w:pPr>
              <w:spacing w:line="360" w:lineRule="auto"/>
              <w:rPr>
                <w:rFonts w:hint="eastAsia" w:asciiTheme="minorEastAsia" w:hAnsiTheme="minorEastAsia" w:eastAsiaTheme="minorEastAsia" w:cstheme="minorEastAsia"/>
              </w:rPr>
            </w:pPr>
          </w:p>
        </w:tc>
      </w:tr>
      <w:tr w14:paraId="0E1240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0" w:type="pct"/>
          </w:tcPr>
          <w:p w14:paraId="46A5DA0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250" w:type="pct"/>
          </w:tcPr>
          <w:p w14:paraId="7C55285E">
            <w:pPr>
              <w:spacing w:line="360" w:lineRule="auto"/>
              <w:rPr>
                <w:rFonts w:hint="eastAsia" w:asciiTheme="minorEastAsia" w:hAnsiTheme="minorEastAsia" w:eastAsiaTheme="minorEastAsia" w:cstheme="minorEastAsia"/>
              </w:rPr>
            </w:pPr>
          </w:p>
        </w:tc>
        <w:tc>
          <w:tcPr>
            <w:tcW w:w="1250" w:type="pct"/>
          </w:tcPr>
          <w:p w14:paraId="510285BA">
            <w:pPr>
              <w:spacing w:line="360" w:lineRule="auto"/>
              <w:rPr>
                <w:rFonts w:hint="eastAsia" w:asciiTheme="minorEastAsia" w:hAnsiTheme="minorEastAsia" w:eastAsiaTheme="minorEastAsia" w:cstheme="minorEastAsia"/>
              </w:rPr>
            </w:pPr>
          </w:p>
        </w:tc>
        <w:tc>
          <w:tcPr>
            <w:tcW w:w="1250" w:type="pct"/>
          </w:tcPr>
          <w:p w14:paraId="65579506">
            <w:pPr>
              <w:spacing w:line="360" w:lineRule="auto"/>
              <w:rPr>
                <w:rFonts w:hint="eastAsia" w:asciiTheme="minorEastAsia" w:hAnsiTheme="minorEastAsia" w:eastAsiaTheme="minorEastAsia" w:cstheme="minorEastAsia"/>
              </w:rPr>
            </w:pPr>
          </w:p>
        </w:tc>
      </w:tr>
      <w:tr w14:paraId="0CD4C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50" w:type="pct"/>
            <w:gridSpan w:val="3"/>
          </w:tcPr>
          <w:p w14:paraId="4EE56A6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供应商为该采购项目或者采购包提供的符合本国产品标准的产品成本之和占该供应商提供的全部产品成本之和的比例是否达到80%</w:t>
            </w:r>
          </w:p>
        </w:tc>
        <w:tc>
          <w:tcPr>
            <w:tcW w:w="1250" w:type="pct"/>
          </w:tcPr>
          <w:p w14:paraId="00C2D1D8">
            <w:pPr>
              <w:spacing w:line="360" w:lineRule="auto"/>
              <w:rPr>
                <w:rFonts w:hint="eastAsia" w:asciiTheme="minorEastAsia" w:hAnsiTheme="minorEastAsia" w:eastAsiaTheme="minorEastAsia" w:cstheme="minorEastAsia"/>
              </w:rPr>
            </w:pPr>
          </w:p>
        </w:tc>
      </w:tr>
    </w:tbl>
    <w:p w14:paraId="340C469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本公司（单位）对上述承诺承担全部法律责任，若存在虚假承诺或与实际不符情形，自愿接受政府采购相关法律法规及监管规定处理，并承担由此产生的一切法律后果与经济责任。</w:t>
      </w:r>
    </w:p>
    <w:p w14:paraId="60BFE8C8">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供应商名称（盖章）：</w:t>
      </w:r>
    </w:p>
    <w:p w14:paraId="4E444B4A">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4B0348DB">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注：</w:t>
      </w:r>
    </w:p>
    <w:p w14:paraId="63B9412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77C7432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 供应商须同时出具《关于符合本国产品标准的声明函》（样式见下附件2）或财政部会同有关部门规定的有关证明文件。出具符合要求的《声明函》或有关证明文件的，该产品视为本国产品。</w:t>
      </w:r>
    </w:p>
    <w:p w14:paraId="4795A9E9">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1C5D252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 若本国产品说明和关于符合本国产品标准的声明函出现不一致，以《关于符合本国产品标准的声明函》为准。</w:t>
      </w:r>
    </w:p>
    <w:p w14:paraId="7794EAC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C8EA83F">
      <w:pPr>
        <w:pStyle w:val="7"/>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三-4招标文件规定的其他价格扣除证明材料（若有）</w:t>
      </w:r>
    </w:p>
    <w:p w14:paraId="06ABD1BC">
      <w:pPr>
        <w:pStyle w:val="7"/>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52FFE45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若投标人可享受招标文件规定的除“节能（非强制类）、环境标志产品价格扣除”及“小型、微型企业产品等价格扣除”外的其他价格扣除优惠，则投标人应按照招标文件要求提供相应证明材料。</w:t>
      </w:r>
    </w:p>
    <w:p w14:paraId="09C4F72F">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1D82312">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封面格式(技术商务部分)</w:t>
      </w:r>
    </w:p>
    <w:p w14:paraId="450D2B93">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68192FB3">
      <w:pPr>
        <w:pStyle w:val="7"/>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（技术商务部分）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5DE47846">
      <w:pPr>
        <w:pStyle w:val="7"/>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77E47568">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13E68DA6">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2A329B26">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2B33C7C0">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66E0FD9D">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4CBC948C">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0CEFA19F">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E6D983C">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72D9F15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一、标的说明一览表</w:t>
      </w:r>
    </w:p>
    <w:p w14:paraId="70CEC83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二、技术和服务要求响应表</w:t>
      </w:r>
    </w:p>
    <w:p w14:paraId="4AE375B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三、商务条件响应表</w:t>
      </w:r>
    </w:p>
    <w:p w14:paraId="59C59D0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四、投标人提交的其他资料（若有）</w:t>
      </w:r>
    </w:p>
    <w:p w14:paraId="679F344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27AC941">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技术商务部分中不得出现报价部分的全部或部分的投标报价信息（或组成资料），否则符合性审查不合格。</w:t>
      </w:r>
    </w:p>
    <w:p w14:paraId="2BF7D142">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101B9ED">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一、标的说明一览表</w:t>
      </w:r>
    </w:p>
    <w:p w14:paraId="4A7DC89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06"/>
        <w:gridCol w:w="1407"/>
        <w:gridCol w:w="1407"/>
        <w:gridCol w:w="1407"/>
        <w:gridCol w:w="1407"/>
        <w:gridCol w:w="1407"/>
        <w:gridCol w:w="1407"/>
      </w:tblGrid>
      <w:tr w14:paraId="44144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pct"/>
          </w:tcPr>
          <w:p w14:paraId="225004A7">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714" w:type="pct"/>
          </w:tcPr>
          <w:p w14:paraId="6304113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714" w:type="pct"/>
          </w:tcPr>
          <w:p w14:paraId="0011D06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投标标的</w:t>
            </w:r>
          </w:p>
        </w:tc>
        <w:tc>
          <w:tcPr>
            <w:tcW w:w="714" w:type="pct"/>
          </w:tcPr>
          <w:p w14:paraId="6472E9E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714" w:type="pct"/>
          </w:tcPr>
          <w:p w14:paraId="72BF41E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规格</w:t>
            </w:r>
          </w:p>
        </w:tc>
        <w:tc>
          <w:tcPr>
            <w:tcW w:w="714" w:type="pct"/>
          </w:tcPr>
          <w:p w14:paraId="1986789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来源地</w:t>
            </w:r>
          </w:p>
        </w:tc>
        <w:tc>
          <w:tcPr>
            <w:tcW w:w="714" w:type="pct"/>
          </w:tcPr>
          <w:p w14:paraId="6D945BA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r>
      <w:tr w14:paraId="7DD71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714" w:type="pct"/>
        </w:trPr>
        <w:tc>
          <w:tcPr>
            <w:tcW w:w="714" w:type="pct"/>
            <w:vMerge w:val="restart"/>
          </w:tcPr>
          <w:p w14:paraId="273BF25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714" w:type="pct"/>
          </w:tcPr>
          <w:p w14:paraId="658736C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14" w:type="pct"/>
          </w:tcPr>
          <w:p w14:paraId="17397ED3">
            <w:pPr>
              <w:spacing w:line="360" w:lineRule="auto"/>
              <w:rPr>
                <w:rFonts w:hint="eastAsia" w:asciiTheme="minorEastAsia" w:hAnsiTheme="minorEastAsia" w:eastAsiaTheme="minorEastAsia" w:cstheme="minorEastAsia"/>
              </w:rPr>
            </w:pPr>
          </w:p>
        </w:tc>
        <w:tc>
          <w:tcPr>
            <w:tcW w:w="714" w:type="pct"/>
          </w:tcPr>
          <w:p w14:paraId="405835BF">
            <w:pPr>
              <w:spacing w:line="360" w:lineRule="auto"/>
              <w:rPr>
                <w:rFonts w:hint="eastAsia" w:asciiTheme="minorEastAsia" w:hAnsiTheme="minorEastAsia" w:eastAsiaTheme="minorEastAsia" w:cstheme="minorEastAsia"/>
              </w:rPr>
            </w:pPr>
          </w:p>
        </w:tc>
        <w:tc>
          <w:tcPr>
            <w:tcW w:w="714" w:type="pct"/>
          </w:tcPr>
          <w:p w14:paraId="6CD7395F">
            <w:pPr>
              <w:spacing w:line="360" w:lineRule="auto"/>
              <w:rPr>
                <w:rFonts w:hint="eastAsia" w:asciiTheme="minorEastAsia" w:hAnsiTheme="minorEastAsia" w:eastAsiaTheme="minorEastAsia" w:cstheme="minorEastAsia"/>
              </w:rPr>
            </w:pPr>
          </w:p>
        </w:tc>
        <w:tc>
          <w:tcPr>
            <w:tcW w:w="714" w:type="pct"/>
          </w:tcPr>
          <w:p w14:paraId="6DF8C258">
            <w:pPr>
              <w:spacing w:line="360" w:lineRule="auto"/>
              <w:rPr>
                <w:rFonts w:hint="eastAsia" w:asciiTheme="minorEastAsia" w:hAnsiTheme="minorEastAsia" w:eastAsiaTheme="minorEastAsia" w:cstheme="minorEastAsia"/>
              </w:rPr>
            </w:pPr>
          </w:p>
        </w:tc>
      </w:tr>
      <w:tr w14:paraId="7BFE1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714" w:type="pct"/>
        </w:trPr>
        <w:tc>
          <w:tcPr>
            <w:tcW w:w="714" w:type="pct"/>
            <w:vMerge w:val="continue"/>
          </w:tcPr>
          <w:p w14:paraId="05258393">
            <w:pPr>
              <w:spacing w:line="360" w:lineRule="auto"/>
              <w:rPr>
                <w:rFonts w:hint="eastAsia" w:asciiTheme="minorEastAsia" w:hAnsiTheme="minorEastAsia" w:eastAsiaTheme="minorEastAsia" w:cstheme="minorEastAsia"/>
              </w:rPr>
            </w:pPr>
          </w:p>
        </w:tc>
        <w:tc>
          <w:tcPr>
            <w:tcW w:w="714" w:type="pct"/>
          </w:tcPr>
          <w:p w14:paraId="7A91321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714" w:type="pct"/>
          </w:tcPr>
          <w:p w14:paraId="64607830">
            <w:pPr>
              <w:spacing w:line="360" w:lineRule="auto"/>
              <w:rPr>
                <w:rFonts w:hint="eastAsia" w:asciiTheme="minorEastAsia" w:hAnsiTheme="minorEastAsia" w:eastAsiaTheme="minorEastAsia" w:cstheme="minorEastAsia"/>
              </w:rPr>
            </w:pPr>
          </w:p>
        </w:tc>
        <w:tc>
          <w:tcPr>
            <w:tcW w:w="714" w:type="pct"/>
          </w:tcPr>
          <w:p w14:paraId="39900531">
            <w:pPr>
              <w:spacing w:line="360" w:lineRule="auto"/>
              <w:rPr>
                <w:rFonts w:hint="eastAsia" w:asciiTheme="minorEastAsia" w:hAnsiTheme="minorEastAsia" w:eastAsiaTheme="minorEastAsia" w:cstheme="minorEastAsia"/>
              </w:rPr>
            </w:pPr>
          </w:p>
        </w:tc>
        <w:tc>
          <w:tcPr>
            <w:tcW w:w="714" w:type="pct"/>
          </w:tcPr>
          <w:p w14:paraId="0A74DCF0">
            <w:pPr>
              <w:spacing w:line="360" w:lineRule="auto"/>
              <w:rPr>
                <w:rFonts w:hint="eastAsia" w:asciiTheme="minorEastAsia" w:hAnsiTheme="minorEastAsia" w:eastAsiaTheme="minorEastAsia" w:cstheme="minorEastAsia"/>
              </w:rPr>
            </w:pPr>
          </w:p>
        </w:tc>
        <w:tc>
          <w:tcPr>
            <w:tcW w:w="714" w:type="pct"/>
          </w:tcPr>
          <w:p w14:paraId="0ADB93A8">
            <w:pPr>
              <w:spacing w:line="360" w:lineRule="auto"/>
              <w:rPr>
                <w:rFonts w:hint="eastAsia" w:asciiTheme="minorEastAsia" w:hAnsiTheme="minorEastAsia" w:eastAsiaTheme="minorEastAsia" w:cstheme="minorEastAsia"/>
              </w:rPr>
            </w:pPr>
          </w:p>
        </w:tc>
      </w:tr>
      <w:tr w14:paraId="1B4808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714" w:type="pct"/>
        </w:trPr>
        <w:tc>
          <w:tcPr>
            <w:tcW w:w="714" w:type="pct"/>
          </w:tcPr>
          <w:p w14:paraId="3EDA728A">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714" w:type="pct"/>
          </w:tcPr>
          <w:p w14:paraId="0017BAD5">
            <w:pPr>
              <w:spacing w:line="360" w:lineRule="auto"/>
              <w:rPr>
                <w:rFonts w:hint="eastAsia" w:asciiTheme="minorEastAsia" w:hAnsiTheme="minorEastAsia" w:eastAsiaTheme="minorEastAsia" w:cstheme="minorEastAsia"/>
              </w:rPr>
            </w:pPr>
          </w:p>
        </w:tc>
        <w:tc>
          <w:tcPr>
            <w:tcW w:w="714" w:type="pct"/>
          </w:tcPr>
          <w:p w14:paraId="2E88955B">
            <w:pPr>
              <w:spacing w:line="360" w:lineRule="auto"/>
              <w:rPr>
                <w:rFonts w:hint="eastAsia" w:asciiTheme="minorEastAsia" w:hAnsiTheme="minorEastAsia" w:eastAsiaTheme="minorEastAsia" w:cstheme="minorEastAsia"/>
              </w:rPr>
            </w:pPr>
          </w:p>
        </w:tc>
        <w:tc>
          <w:tcPr>
            <w:tcW w:w="714" w:type="pct"/>
          </w:tcPr>
          <w:p w14:paraId="6CB18B85">
            <w:pPr>
              <w:spacing w:line="360" w:lineRule="auto"/>
              <w:rPr>
                <w:rFonts w:hint="eastAsia" w:asciiTheme="minorEastAsia" w:hAnsiTheme="minorEastAsia" w:eastAsiaTheme="minorEastAsia" w:cstheme="minorEastAsia"/>
              </w:rPr>
            </w:pPr>
          </w:p>
        </w:tc>
        <w:tc>
          <w:tcPr>
            <w:tcW w:w="714" w:type="pct"/>
          </w:tcPr>
          <w:p w14:paraId="6D931599">
            <w:pPr>
              <w:spacing w:line="360" w:lineRule="auto"/>
              <w:rPr>
                <w:rFonts w:hint="eastAsia" w:asciiTheme="minorEastAsia" w:hAnsiTheme="minorEastAsia" w:eastAsiaTheme="minorEastAsia" w:cstheme="minorEastAsia"/>
              </w:rPr>
            </w:pPr>
          </w:p>
        </w:tc>
        <w:tc>
          <w:tcPr>
            <w:tcW w:w="714" w:type="pct"/>
          </w:tcPr>
          <w:p w14:paraId="27268BF9">
            <w:pPr>
              <w:spacing w:line="360" w:lineRule="auto"/>
              <w:rPr>
                <w:rFonts w:hint="eastAsia" w:asciiTheme="minorEastAsia" w:hAnsiTheme="minorEastAsia" w:eastAsiaTheme="minorEastAsia" w:cstheme="minorEastAsia"/>
              </w:rPr>
            </w:pPr>
          </w:p>
        </w:tc>
      </w:tr>
    </w:tbl>
    <w:p w14:paraId="6DA6873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7A8C835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227A37A4">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1.1“采购包”、“品目号”、“投标标的”及“数量”应与招标文件《采购标的一览表》中的有关内容（“采购包”、“品目号”、“采购标的”及“数量”）保持一致。</w:t>
      </w:r>
    </w:p>
    <w:p w14:paraId="5C859D2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3D9E96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1.3“投标标的”为服务的：“规格”项下应填写服务提供者提供的服务标准及品牌（若有）。“来源地”应填写服务提供者的所在地。“备注”项下应填写关于服务标准所涵盖的具体项目或内容的说明等。</w:t>
      </w:r>
    </w:p>
    <w:p w14:paraId="1BC5D365">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722602F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3、电子投标文件中涉及“投标标的”、“数量”、“规格”、“来源地”的内容若不一致，以投标客户端的投标（响应）报价明细表为准。</w:t>
      </w:r>
    </w:p>
    <w:p w14:paraId="72AF79DF">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701A405">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1BBCD864">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2F3EEDA">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二、技术和服务要求响应表</w:t>
      </w:r>
    </w:p>
    <w:p w14:paraId="18329D5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9"/>
        <w:gridCol w:w="1969"/>
        <w:gridCol w:w="1970"/>
        <w:gridCol w:w="1970"/>
        <w:gridCol w:w="1970"/>
      </w:tblGrid>
      <w:tr w14:paraId="29496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28612C89">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000" w:type="pct"/>
          </w:tcPr>
          <w:p w14:paraId="2FA2437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000" w:type="pct"/>
          </w:tcPr>
          <w:p w14:paraId="351F5C9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技术和服务要求</w:t>
            </w:r>
          </w:p>
        </w:tc>
        <w:tc>
          <w:tcPr>
            <w:tcW w:w="1000" w:type="pct"/>
          </w:tcPr>
          <w:p w14:paraId="105330E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000" w:type="pct"/>
          </w:tcPr>
          <w:p w14:paraId="5CB90FB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0E98E1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restart"/>
          </w:tcPr>
          <w:p w14:paraId="4868A8E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6C44C0E0">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000" w:type="pct"/>
          </w:tcPr>
          <w:p w14:paraId="396FDEF2">
            <w:pPr>
              <w:spacing w:line="360" w:lineRule="auto"/>
              <w:rPr>
                <w:rFonts w:hint="eastAsia" w:asciiTheme="minorEastAsia" w:hAnsiTheme="minorEastAsia" w:eastAsiaTheme="minorEastAsia" w:cstheme="minorEastAsia"/>
              </w:rPr>
            </w:pPr>
          </w:p>
        </w:tc>
        <w:tc>
          <w:tcPr>
            <w:tcW w:w="1000" w:type="pct"/>
          </w:tcPr>
          <w:p w14:paraId="5595A5B5">
            <w:pPr>
              <w:spacing w:line="360" w:lineRule="auto"/>
              <w:rPr>
                <w:rFonts w:hint="eastAsia" w:asciiTheme="minorEastAsia" w:hAnsiTheme="minorEastAsia" w:eastAsiaTheme="minorEastAsia" w:cstheme="minorEastAsia"/>
              </w:rPr>
            </w:pPr>
          </w:p>
        </w:tc>
        <w:tc>
          <w:tcPr>
            <w:tcW w:w="1000" w:type="pct"/>
          </w:tcPr>
          <w:p w14:paraId="5E668442">
            <w:pPr>
              <w:spacing w:line="360" w:lineRule="auto"/>
              <w:rPr>
                <w:rFonts w:hint="eastAsia" w:asciiTheme="minorEastAsia" w:hAnsiTheme="minorEastAsia" w:eastAsiaTheme="minorEastAsia" w:cstheme="minorEastAsia"/>
              </w:rPr>
            </w:pPr>
          </w:p>
        </w:tc>
      </w:tr>
      <w:tr w14:paraId="7BB16D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continue"/>
          </w:tcPr>
          <w:p w14:paraId="630E5FD4">
            <w:pPr>
              <w:spacing w:line="360" w:lineRule="auto"/>
              <w:rPr>
                <w:rFonts w:hint="eastAsia" w:asciiTheme="minorEastAsia" w:hAnsiTheme="minorEastAsia" w:eastAsiaTheme="minorEastAsia" w:cstheme="minorEastAsia"/>
              </w:rPr>
            </w:pPr>
          </w:p>
        </w:tc>
        <w:tc>
          <w:tcPr>
            <w:tcW w:w="1000" w:type="pct"/>
          </w:tcPr>
          <w:p w14:paraId="2C1885C6">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7B7A8995">
            <w:pPr>
              <w:spacing w:line="360" w:lineRule="auto"/>
              <w:rPr>
                <w:rFonts w:hint="eastAsia" w:asciiTheme="minorEastAsia" w:hAnsiTheme="minorEastAsia" w:eastAsiaTheme="minorEastAsia" w:cstheme="minorEastAsia"/>
              </w:rPr>
            </w:pPr>
          </w:p>
        </w:tc>
        <w:tc>
          <w:tcPr>
            <w:tcW w:w="1000" w:type="pct"/>
          </w:tcPr>
          <w:p w14:paraId="56CDB4C0">
            <w:pPr>
              <w:spacing w:line="360" w:lineRule="auto"/>
              <w:rPr>
                <w:rFonts w:hint="eastAsia" w:asciiTheme="minorEastAsia" w:hAnsiTheme="minorEastAsia" w:eastAsiaTheme="minorEastAsia" w:cstheme="minorEastAsia"/>
              </w:rPr>
            </w:pPr>
          </w:p>
        </w:tc>
        <w:tc>
          <w:tcPr>
            <w:tcW w:w="1000" w:type="pct"/>
          </w:tcPr>
          <w:p w14:paraId="4491EA07">
            <w:pPr>
              <w:spacing w:line="360" w:lineRule="auto"/>
              <w:rPr>
                <w:rFonts w:hint="eastAsia" w:asciiTheme="minorEastAsia" w:hAnsiTheme="minorEastAsia" w:eastAsiaTheme="minorEastAsia" w:cstheme="minorEastAsia"/>
              </w:rPr>
            </w:pPr>
          </w:p>
        </w:tc>
      </w:tr>
      <w:tr w14:paraId="4B6BA8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3C231BA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64E6E039">
            <w:pPr>
              <w:spacing w:line="360" w:lineRule="auto"/>
              <w:rPr>
                <w:rFonts w:hint="eastAsia" w:asciiTheme="minorEastAsia" w:hAnsiTheme="minorEastAsia" w:eastAsiaTheme="minorEastAsia" w:cstheme="minorEastAsia"/>
              </w:rPr>
            </w:pPr>
          </w:p>
        </w:tc>
        <w:tc>
          <w:tcPr>
            <w:tcW w:w="1000" w:type="pct"/>
          </w:tcPr>
          <w:p w14:paraId="5BB475BF">
            <w:pPr>
              <w:spacing w:line="360" w:lineRule="auto"/>
              <w:rPr>
                <w:rFonts w:hint="eastAsia" w:asciiTheme="minorEastAsia" w:hAnsiTheme="minorEastAsia" w:eastAsiaTheme="minorEastAsia" w:cstheme="minorEastAsia"/>
              </w:rPr>
            </w:pPr>
          </w:p>
        </w:tc>
        <w:tc>
          <w:tcPr>
            <w:tcW w:w="1000" w:type="pct"/>
          </w:tcPr>
          <w:p w14:paraId="5EBA17C0">
            <w:pPr>
              <w:spacing w:line="360" w:lineRule="auto"/>
              <w:rPr>
                <w:rFonts w:hint="eastAsia" w:asciiTheme="minorEastAsia" w:hAnsiTheme="minorEastAsia" w:eastAsiaTheme="minorEastAsia" w:cstheme="minorEastAsia"/>
              </w:rPr>
            </w:pPr>
          </w:p>
        </w:tc>
        <w:tc>
          <w:tcPr>
            <w:tcW w:w="1000" w:type="pct"/>
          </w:tcPr>
          <w:p w14:paraId="1A3339D4">
            <w:pPr>
              <w:spacing w:line="360" w:lineRule="auto"/>
              <w:rPr>
                <w:rFonts w:hint="eastAsia" w:asciiTheme="minorEastAsia" w:hAnsiTheme="minorEastAsia" w:eastAsiaTheme="minorEastAsia" w:cstheme="minorEastAsia"/>
              </w:rPr>
            </w:pPr>
          </w:p>
        </w:tc>
      </w:tr>
    </w:tbl>
    <w:p w14:paraId="434CCE1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C695F86">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7846749B">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1.1“技术和服务要求”项下填写的内容应与招标文件第五章“技术和服务要求”的内容保持一致。</w:t>
      </w:r>
    </w:p>
    <w:p w14:paraId="5EB89E7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3BFDED12">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13C2DF1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26C7F337">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F4EF28C">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675D4E5">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D2C9E9F">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三、商务条件响应表</w:t>
      </w:r>
    </w:p>
    <w:p w14:paraId="3429499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9"/>
        <w:gridCol w:w="1969"/>
        <w:gridCol w:w="1970"/>
        <w:gridCol w:w="1970"/>
        <w:gridCol w:w="1970"/>
      </w:tblGrid>
      <w:tr w14:paraId="5E9408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3141DDEC">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000" w:type="pct"/>
          </w:tcPr>
          <w:p w14:paraId="34D467E5">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000" w:type="pct"/>
          </w:tcPr>
          <w:p w14:paraId="6DE64A53">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商务条件</w:t>
            </w:r>
          </w:p>
        </w:tc>
        <w:tc>
          <w:tcPr>
            <w:tcW w:w="1000" w:type="pct"/>
          </w:tcPr>
          <w:p w14:paraId="79F6E42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000" w:type="pct"/>
          </w:tcPr>
          <w:p w14:paraId="03A202F8">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573603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restart"/>
          </w:tcPr>
          <w:p w14:paraId="37AFE352">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638391B4">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000" w:type="pct"/>
          </w:tcPr>
          <w:p w14:paraId="076517D9">
            <w:pPr>
              <w:spacing w:line="360" w:lineRule="auto"/>
              <w:rPr>
                <w:rFonts w:hint="eastAsia" w:asciiTheme="minorEastAsia" w:hAnsiTheme="minorEastAsia" w:eastAsiaTheme="minorEastAsia" w:cstheme="minorEastAsia"/>
              </w:rPr>
            </w:pPr>
          </w:p>
        </w:tc>
        <w:tc>
          <w:tcPr>
            <w:tcW w:w="1000" w:type="pct"/>
          </w:tcPr>
          <w:p w14:paraId="4F9E9E3C">
            <w:pPr>
              <w:spacing w:line="360" w:lineRule="auto"/>
              <w:rPr>
                <w:rFonts w:hint="eastAsia" w:asciiTheme="minorEastAsia" w:hAnsiTheme="minorEastAsia" w:eastAsiaTheme="minorEastAsia" w:cstheme="minorEastAsia"/>
              </w:rPr>
            </w:pPr>
          </w:p>
        </w:tc>
        <w:tc>
          <w:tcPr>
            <w:tcW w:w="1000" w:type="pct"/>
          </w:tcPr>
          <w:p w14:paraId="243ECE4C">
            <w:pPr>
              <w:spacing w:line="360" w:lineRule="auto"/>
              <w:rPr>
                <w:rFonts w:hint="eastAsia" w:asciiTheme="minorEastAsia" w:hAnsiTheme="minorEastAsia" w:eastAsiaTheme="minorEastAsia" w:cstheme="minorEastAsia"/>
              </w:rPr>
            </w:pPr>
          </w:p>
        </w:tc>
      </w:tr>
      <w:tr w14:paraId="3A157F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vMerge w:val="continue"/>
          </w:tcPr>
          <w:p w14:paraId="3B7DE4D8">
            <w:pPr>
              <w:spacing w:line="360" w:lineRule="auto"/>
              <w:rPr>
                <w:rFonts w:hint="eastAsia" w:asciiTheme="minorEastAsia" w:hAnsiTheme="minorEastAsia" w:eastAsiaTheme="minorEastAsia" w:cstheme="minorEastAsia"/>
              </w:rPr>
            </w:pPr>
          </w:p>
        </w:tc>
        <w:tc>
          <w:tcPr>
            <w:tcW w:w="1000" w:type="pct"/>
          </w:tcPr>
          <w:p w14:paraId="721D933D">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12563038">
            <w:pPr>
              <w:spacing w:line="360" w:lineRule="auto"/>
              <w:rPr>
                <w:rFonts w:hint="eastAsia" w:asciiTheme="minorEastAsia" w:hAnsiTheme="minorEastAsia" w:eastAsiaTheme="minorEastAsia" w:cstheme="minorEastAsia"/>
              </w:rPr>
            </w:pPr>
          </w:p>
        </w:tc>
        <w:tc>
          <w:tcPr>
            <w:tcW w:w="1000" w:type="pct"/>
          </w:tcPr>
          <w:p w14:paraId="5F25402C">
            <w:pPr>
              <w:spacing w:line="360" w:lineRule="auto"/>
              <w:rPr>
                <w:rFonts w:hint="eastAsia" w:asciiTheme="minorEastAsia" w:hAnsiTheme="minorEastAsia" w:eastAsiaTheme="minorEastAsia" w:cstheme="minorEastAsia"/>
              </w:rPr>
            </w:pPr>
          </w:p>
        </w:tc>
        <w:tc>
          <w:tcPr>
            <w:tcW w:w="1000" w:type="pct"/>
          </w:tcPr>
          <w:p w14:paraId="11BDCA4F">
            <w:pPr>
              <w:spacing w:line="360" w:lineRule="auto"/>
              <w:rPr>
                <w:rFonts w:hint="eastAsia" w:asciiTheme="minorEastAsia" w:hAnsiTheme="minorEastAsia" w:eastAsiaTheme="minorEastAsia" w:cstheme="minorEastAsia"/>
              </w:rPr>
            </w:pPr>
          </w:p>
        </w:tc>
      </w:tr>
      <w:tr w14:paraId="3E7ABF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0" w:type="pct"/>
          </w:tcPr>
          <w:p w14:paraId="3826EF3F">
            <w:pPr>
              <w:pStyle w:val="7"/>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000" w:type="pct"/>
          </w:tcPr>
          <w:p w14:paraId="3D6FAE82">
            <w:pPr>
              <w:spacing w:line="360" w:lineRule="auto"/>
              <w:rPr>
                <w:rFonts w:hint="eastAsia" w:asciiTheme="minorEastAsia" w:hAnsiTheme="minorEastAsia" w:eastAsiaTheme="minorEastAsia" w:cstheme="minorEastAsia"/>
              </w:rPr>
            </w:pPr>
          </w:p>
        </w:tc>
        <w:tc>
          <w:tcPr>
            <w:tcW w:w="1000" w:type="pct"/>
          </w:tcPr>
          <w:p w14:paraId="689782C7">
            <w:pPr>
              <w:spacing w:line="360" w:lineRule="auto"/>
              <w:rPr>
                <w:rFonts w:hint="eastAsia" w:asciiTheme="minorEastAsia" w:hAnsiTheme="minorEastAsia" w:eastAsiaTheme="minorEastAsia" w:cstheme="minorEastAsia"/>
              </w:rPr>
            </w:pPr>
          </w:p>
        </w:tc>
        <w:tc>
          <w:tcPr>
            <w:tcW w:w="1000" w:type="pct"/>
          </w:tcPr>
          <w:p w14:paraId="16FC0AD7">
            <w:pPr>
              <w:spacing w:line="360" w:lineRule="auto"/>
              <w:rPr>
                <w:rFonts w:hint="eastAsia" w:asciiTheme="minorEastAsia" w:hAnsiTheme="minorEastAsia" w:eastAsiaTheme="minorEastAsia" w:cstheme="minorEastAsia"/>
              </w:rPr>
            </w:pPr>
          </w:p>
        </w:tc>
        <w:tc>
          <w:tcPr>
            <w:tcW w:w="1000" w:type="pct"/>
          </w:tcPr>
          <w:p w14:paraId="70440D3B">
            <w:pPr>
              <w:spacing w:line="360" w:lineRule="auto"/>
              <w:rPr>
                <w:rFonts w:hint="eastAsia" w:asciiTheme="minorEastAsia" w:hAnsiTheme="minorEastAsia" w:eastAsiaTheme="minorEastAsia" w:cstheme="minorEastAsia"/>
              </w:rPr>
            </w:pPr>
          </w:p>
        </w:tc>
      </w:tr>
    </w:tbl>
    <w:p w14:paraId="01DD749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4FCC0EBE">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1ABC6FE3">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1.1“商务条件”项下填写的内容应与招标文件第五章“商务条件”的内容保持一致。</w:t>
      </w:r>
    </w:p>
    <w:p w14:paraId="5FFB2D58">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1.2“投标响应”项下应填写具体的响应内容并与“商务条件”项下填写的内容逐项对应；对“商务条件”项下涉及“≥或＞”、“≤或＜”及某个区间值范围内的内容，应填写具体的数值。</w:t>
      </w:r>
    </w:p>
    <w:p w14:paraId="7668C14A">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6D99573C">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1E8157DD">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D7AFE67">
      <w:pPr>
        <w:pStyle w:val="7"/>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36F5C61E">
      <w:pPr>
        <w:pStyle w:val="7"/>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16F8446">
      <w:pPr>
        <w:pStyle w:val="7"/>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四、投标人提交的其他资料（若有）</w:t>
      </w:r>
    </w:p>
    <w:p w14:paraId="057AB9B0">
      <w:pPr>
        <w:pStyle w:val="7"/>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128644FF">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1、招标文件要求提交的除“资格及资信证明部分”、“报价部分”外的其他证明材料或资料加盖投标人的单位公章后应在此项下提交。</w:t>
      </w:r>
    </w:p>
    <w:p w14:paraId="2F4ECABD">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2、招标文件要求投标人提供方案（包括但不限于：组织、实施、技术、服务方案等）的，投标人应在此项下提交。</w:t>
      </w:r>
    </w:p>
    <w:p w14:paraId="4CC8F190">
      <w:pPr>
        <w:pStyle w:val="7"/>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3、除招标文件另有规定外，投标人认为需要提交的其他证明材料或资料加盖投标人的单位公章后应在此项下提交。</w:t>
      </w:r>
    </w:p>
    <w:p w14:paraId="455EF90F">
      <w:pPr>
        <w:pStyle w:val="7"/>
        <w:spacing w:line="360" w:lineRule="auto"/>
        <w:rPr>
          <w:rFonts w:hint="eastAsia" w:asciiTheme="minorEastAsia" w:hAnsiTheme="minorEastAsia" w:eastAsiaTheme="minorEastAsia" w:cstheme="minorEastAsia"/>
          <w:lang w:val="en-US" w:eastAsia="zh-Hans"/>
        </w:rPr>
      </w:pPr>
    </w:p>
    <w:sectPr>
      <w:footerReference r:id="rId3" w:type="default"/>
      <w:pgSz w:w="11906" w:h="16838"/>
      <w:pgMar w:top="1440" w:right="1134" w:bottom="1440" w:left="113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82FE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B902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4B902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53B52B8D"/>
    <w:rsid w:val="545E2E2D"/>
    <w:rsid w:val="77F79321"/>
    <w:rsid w:val="7EA33FB2"/>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115</Pages>
  <Words>623</Words>
  <Characters>752</Characters>
  <Lines>0</Lines>
  <Paragraphs>0</Paragraphs>
  <TotalTime>13</TotalTime>
  <ScaleCrop>false</ScaleCrop>
  <LinksUpToDate>false</LinksUpToDate>
  <CharactersWithSpaces>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Mission</cp:lastModifiedBy>
  <dcterms:modified xsi:type="dcterms:W3CDTF">2026-10-13T01:15:06Z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eyJoZGlkIjoiOGU0MWU1NTI4Nzg3OTcwZGUzOTY3NzQwNDE4NTE1Y2YiLCJ1c2VySWQiOiI0MzgyODIxOTAifQ==</vt:lpwstr>
  </property>
</Properties>
</file>